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B5" w:rsidRPr="005254B5" w:rsidRDefault="005254B5" w:rsidP="00525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254B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254B5" w:rsidRPr="005254B5" w:rsidRDefault="005254B5" w:rsidP="00525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254B5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5254B5" w:rsidRPr="005254B5" w:rsidRDefault="005254B5" w:rsidP="00525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254B5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</w:p>
    <w:p w:rsidR="005254B5" w:rsidRDefault="005254B5" w:rsidP="00525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254B5">
        <w:rPr>
          <w:rFonts w:ascii="Times New Roman" w:hAnsi="Times New Roman" w:cs="Times New Roman"/>
          <w:sz w:val="24"/>
          <w:szCs w:val="24"/>
        </w:rPr>
        <w:t>№ 1347 от 27 декабря 202</w:t>
      </w:r>
      <w:r w:rsidR="0014502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5254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254B5" w:rsidRPr="005254B5" w:rsidRDefault="005254B5" w:rsidP="00525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10220"/>
      </w:tblGrid>
      <w:tr w:rsidR="00B95BCE" w:rsidRPr="0076118C" w:rsidTr="00B95BCE">
        <w:tc>
          <w:tcPr>
            <w:tcW w:w="0" w:type="auto"/>
            <w:gridSpan w:val="2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Информация о государственном (муниципальном) задании на оказание </w:t>
            </w: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br/>
              <w:t xml:space="preserve">услуг (выполнение работ) и его исполнении </w:t>
            </w: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BCE" w:rsidRPr="0076118C" w:rsidTr="00B95BCE">
        <w:tc>
          <w:tcPr>
            <w:tcW w:w="0" w:type="auto"/>
            <w:gridSpan w:val="2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 </w:t>
            </w:r>
          </w:p>
        </w:tc>
      </w:tr>
      <w:tr w:rsidR="00B95BCE" w:rsidRPr="0076118C" w:rsidTr="00B95BCE">
        <w:tc>
          <w:tcPr>
            <w:tcW w:w="150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Дата формирования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19.09.2022</w:t>
            </w:r>
          </w:p>
        </w:tc>
      </w:tr>
      <w:tr w:rsidR="00B95BCE" w:rsidRPr="0076118C" w:rsidTr="00B95BCE">
        <w:tc>
          <w:tcPr>
            <w:tcW w:w="150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Полное наименование учреждения 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МУНИЦИПАЛЬНОЕ БЮДЖЕТНОЕ УЧРЕЖДЕНИЕ "МАЛОЯРОСЛАВЕЦКИЙ МУЗЕЙНО-ВЫСТАВОЧНЫЙ ЦЕНТР ИМ.И.А.СОЛДАТЕНКОВА"</w:t>
            </w:r>
          </w:p>
        </w:tc>
      </w:tr>
      <w:tr w:rsidR="00B95BCE" w:rsidRPr="0076118C" w:rsidTr="00B95BCE">
        <w:tc>
          <w:tcPr>
            <w:tcW w:w="150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293А0812</w:t>
            </w:r>
          </w:p>
        </w:tc>
      </w:tr>
      <w:tr w:rsidR="00B95BCE" w:rsidRPr="0076118C" w:rsidTr="00B95BCE">
        <w:tc>
          <w:tcPr>
            <w:tcW w:w="150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4011009404</w:t>
            </w:r>
          </w:p>
        </w:tc>
      </w:tr>
      <w:tr w:rsidR="00B95BCE" w:rsidRPr="0076118C" w:rsidTr="00B95BCE">
        <w:tc>
          <w:tcPr>
            <w:tcW w:w="150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401101001</w:t>
            </w:r>
          </w:p>
        </w:tc>
      </w:tr>
      <w:tr w:rsidR="00B95BCE" w:rsidRPr="0076118C" w:rsidTr="00B95BCE">
        <w:tc>
          <w:tcPr>
            <w:tcW w:w="150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2023</w:t>
            </w:r>
          </w:p>
        </w:tc>
      </w:tr>
      <w:tr w:rsidR="00B95BCE" w:rsidRPr="0076118C" w:rsidTr="00B95BCE">
        <w:tc>
          <w:tcPr>
            <w:tcW w:w="150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Плановый период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2024 - 2025</w:t>
            </w:r>
          </w:p>
        </w:tc>
      </w:tr>
      <w:tr w:rsidR="00B95BCE" w:rsidRPr="0076118C" w:rsidTr="00B95BCE">
        <w:tc>
          <w:tcPr>
            <w:tcW w:w="150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Сформировано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Учреждением - МУНИЦИПАЛЬНОЕ БЮДЖЕТНОЕ УЧРЕЖДЕНИЕ "МАЛОЯРОСЛАВЕЦКИЙ МУЗЕЙНО-ВЫСТАВОЧНЫЙ ЦЕНТР ИМ.И.А.СОЛДАТЕНКОВА"</w:t>
            </w: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br/>
            </w: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ИНН 4011009404</w:t>
            </w: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br/>
              <w:t>КПП 401101001</w:t>
            </w: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4"/>
        <w:gridCol w:w="876"/>
      </w:tblGrid>
      <w:tr w:rsidR="00B95BCE" w:rsidRPr="0076118C" w:rsidTr="00B95BCE">
        <w:tc>
          <w:tcPr>
            <w:tcW w:w="0" w:type="auto"/>
            <w:gridSpan w:val="2"/>
            <w:vAlign w:val="center"/>
            <w:hideMark/>
          </w:tcPr>
          <w:p w:rsidR="00B95BCE" w:rsidRPr="0076118C" w:rsidRDefault="00B95BCE" w:rsidP="00B95BCE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Сведения о финансовом периоде, на который установлено государственное (муниципальное) задание </w:t>
            </w: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Год, на который установлено государственное (муниципальное) задание 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2023</w:t>
            </w: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Плановый период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2024</w:t>
            </w: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vanish/>
          <w:color w:val="4A4A4A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3"/>
        <w:gridCol w:w="237"/>
      </w:tblGrid>
      <w:tr w:rsidR="00B95BCE" w:rsidRPr="0076118C" w:rsidTr="00B95BCE">
        <w:trPr>
          <w:gridAfter w:val="1"/>
        </w:trPr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Номер и дата государственного (муниципального) задания</w:t>
            </w: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</w:t>
            </w: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vanish/>
          <w:color w:val="4A4A4A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11680"/>
      </w:tblGrid>
      <w:tr w:rsidR="00B95BCE" w:rsidRPr="0076118C" w:rsidTr="00B95BCE">
        <w:tc>
          <w:tcPr>
            <w:tcW w:w="0" w:type="auto"/>
            <w:gridSpan w:val="2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Уполномоченное лицо, 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утвердившего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 государственное задание</w:t>
            </w:r>
          </w:p>
        </w:tc>
      </w:tr>
      <w:tr w:rsidR="00B95BCE" w:rsidRPr="0076118C" w:rsidTr="00B95BCE">
        <w:tc>
          <w:tcPr>
            <w:tcW w:w="1000" w:type="pct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Крылов</w:t>
            </w:r>
          </w:p>
        </w:tc>
      </w:tr>
      <w:tr w:rsidR="00B95BCE" w:rsidRPr="0076118C" w:rsidTr="00B95BCE"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Михаил</w:t>
            </w:r>
          </w:p>
        </w:tc>
      </w:tr>
      <w:tr w:rsidR="00B95BCE" w:rsidRPr="0076118C" w:rsidTr="00B95BCE"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B95BCE" w:rsidRPr="0076118C" w:rsidTr="00B95BCE"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Глава Администрации МО ГП "Город Малоярославец"</w:t>
            </w:r>
          </w:p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</w:tbl>
    <w:p w:rsidR="00B95BCE" w:rsidRPr="0076118C" w:rsidRDefault="00B95BCE" w:rsidP="00B9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Часть 1. Сведения об оказываемых услугах </w:t>
      </w:r>
    </w:p>
    <w:p w:rsidR="00B95BCE" w:rsidRPr="0076118C" w:rsidRDefault="00B95BCE" w:rsidP="00B95BCE">
      <w:pPr>
        <w:spacing w:after="24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Раздел 1</w:t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Наименование услуги Публичный показ музейных предметов, музейных коллекций</w:t>
      </w:r>
    </w:p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Категории потребителей: </w:t>
      </w:r>
    </w:p>
    <w:p w:rsidR="00B95BCE" w:rsidRPr="0076118C" w:rsidRDefault="00B95BCE" w:rsidP="00B95BCE">
      <w:pPr>
        <w:numPr>
          <w:ilvl w:val="0"/>
          <w:numId w:val="1"/>
        </w:numPr>
        <w:spacing w:before="100" w:beforeAutospacing="1" w:after="100" w:afterAutospacing="1" w:line="240" w:lineRule="auto"/>
        <w:ind w:left="334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Физические лица</w:t>
      </w:r>
    </w:p>
    <w:p w:rsidR="00B95BCE" w:rsidRPr="0076118C" w:rsidRDefault="00B95BCE" w:rsidP="00B95BCE">
      <w:pPr>
        <w:spacing w:after="0" w:line="240" w:lineRule="auto"/>
        <w:ind w:left="334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3133"/>
        <w:gridCol w:w="2859"/>
        <w:gridCol w:w="2859"/>
        <w:gridCol w:w="2860"/>
      </w:tblGrid>
      <w:tr w:rsidR="00B95BCE" w:rsidRPr="0076118C" w:rsidTr="00B95BCE">
        <w:trPr>
          <w:gridAfter w:val="4"/>
          <w:wAfter w:w="6291" w:type="dxa"/>
        </w:trPr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line="240" w:lineRule="auto"/>
              <w:divId w:val="156118383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Нормативные правовые акты, устанавливающие цены (тарифы) на услугу либо порядок его (ее) установления </w:t>
            </w:r>
          </w:p>
        </w:tc>
      </w:tr>
      <w:tr w:rsidR="00B95BCE" w:rsidRPr="0076118C" w:rsidTr="00B95BCE"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B95BCE" w:rsidRPr="0076118C" w:rsidTr="00B95BCE"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Федеральный Закон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Президент РФ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09.10.1992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3612-1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Основы законодательства Российской Федерации о культуре</w:t>
            </w:r>
          </w:p>
        </w:tc>
      </w:tr>
      <w:tr w:rsidR="00B95BCE" w:rsidRPr="0076118C" w:rsidTr="00B95BCE"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Постановление Администрации МО ГП "Город </w:t>
            </w:r>
            <w:proofErr w:type="spell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малоярославец</w:t>
            </w:r>
            <w:proofErr w:type="spellEnd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Глава Администрации МО ГП "Город Малоярославец"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03.11.2011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 утверждении порядка определения платы для граждан и юридических лиц за услуги (работы), относящиеся к основным видам деятельности бюджетных учреждений городского поселения "Город Малоярославец"</w:t>
            </w:r>
          </w:p>
        </w:tc>
      </w:tr>
      <w:tr w:rsidR="00B95BCE" w:rsidRPr="0076118C" w:rsidTr="00B95BCE"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Приказ по МБУ "Малоярославецкий музейно-выставочный центр им. И.А. Солдатенкова"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Директор/Администрация музея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02.08.2016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 установлении цен на услуги, оказываемые муниципальным учреждением культуры</w:t>
            </w:r>
          </w:p>
        </w:tc>
      </w:tr>
    </w:tbl>
    <w:p w:rsidR="00B95BCE" w:rsidRPr="0076118C" w:rsidRDefault="00B95BCE" w:rsidP="00B95BCE">
      <w:pPr>
        <w:spacing w:after="24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 xml:space="preserve">Возможность взимания платы за услугу да </w:t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Средневзвешенная цена за единицу услуги (</w:t>
      </w:r>
      <w:proofErr w:type="spellStart"/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руб</w:t>
      </w:r>
      <w:proofErr w:type="spellEnd"/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) 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2914"/>
        <w:gridCol w:w="2914"/>
        <w:gridCol w:w="2914"/>
      </w:tblGrid>
      <w:tr w:rsidR="00B95BCE" w:rsidRPr="0076118C" w:rsidTr="00B95BCE">
        <w:trPr>
          <w:gridAfter w:val="4"/>
          <w:wAfter w:w="6291" w:type="dxa"/>
        </w:trPr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line="240" w:lineRule="auto"/>
              <w:divId w:val="272637977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Нормативные правовые акты, регулирующие порядок оказания государственной (муниципальной) услуги </w:t>
            </w:r>
          </w:p>
        </w:tc>
      </w:tr>
      <w:tr w:rsidR="00B95BCE" w:rsidRPr="0076118C" w:rsidTr="00B95BCE"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Принявший орган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B95BCE" w:rsidRPr="0076118C" w:rsidTr="00B95BCE"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29.10.2020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00" w:type="pct"/>
            <w:vAlign w:val="center"/>
            <w:hideMark/>
          </w:tcPr>
          <w:p w:rsidR="00B95BCE" w:rsidRPr="0076118C" w:rsidRDefault="00B95BCE" w:rsidP="00B95BCE">
            <w:pPr>
              <w:wordWrap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Порядок предоставления платных услуг</w:t>
            </w:r>
          </w:p>
        </w:tc>
      </w:tr>
    </w:tbl>
    <w:p w:rsidR="00B95BCE" w:rsidRPr="0076118C" w:rsidRDefault="00B95BCE" w:rsidP="00B95BCE">
      <w:pPr>
        <w:spacing w:after="24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6517"/>
        <w:gridCol w:w="2033"/>
      </w:tblGrid>
      <w:tr w:rsidR="00B95BCE" w:rsidRPr="0076118C" w:rsidTr="00B95BCE">
        <w:trPr>
          <w:gridAfter w:val="2"/>
        </w:trPr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line="240" w:lineRule="auto"/>
              <w:divId w:val="2022659471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Порядок информирования потенциальных потребителей государственной (муниципальной) услуги </w:t>
            </w: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Частота обновления информации</w:t>
            </w: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Посредством Интернет: Сайт ММВЦ http://malmusey.ru/ Сайт Администрации МО ГП "Город Малоярославец", http://www.admmaloyaroslavec.ru/ 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Информация о ценах на услуги, оказываемые муниципальным учреждением культуры об организации деятельности музея, Популяризация объектов культурного наследия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 мере изменения данных</w:t>
            </w: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Размещение информации в СМИ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Информация об организации деятельности музеев, популяризация объектов культурного наследия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 мере изменения данных</w:t>
            </w: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Размещения информации в специальных изданиях (справочниках, буклетах, и т.д.).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Информация об организации деятельности музеев, о режиме работы учреждения, справочные телефоны, Ф.И.О. специалистов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 мере изменения данных</w:t>
            </w:r>
          </w:p>
        </w:tc>
      </w:tr>
      <w:tr w:rsidR="00B95BCE" w:rsidRPr="0076118C" w:rsidTr="00B95BCE"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Размещение информации на информационных стендах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Информация о режиме работы учреждения, информация о руководстве музея с указанием Ф.И.О., должности, телефона, правил посещения, утвержденный перечень услуг с указанием условий их предоставления, цен, наличие льгот, сведения об Учредителе, схемы расположения помещений.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 мере изменения данных</w:t>
            </w: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B95BCE" w:rsidRPr="0076118C" w:rsidRDefault="00B95BCE" w:rsidP="00B95BCE">
      <w:pPr>
        <w:spacing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95BCE" w:rsidRPr="0076118C" w:rsidTr="00B95BCE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1821"/>
              <w:gridCol w:w="1701"/>
              <w:gridCol w:w="479"/>
              <w:gridCol w:w="1177"/>
              <w:gridCol w:w="1069"/>
              <w:gridCol w:w="1286"/>
              <w:gridCol w:w="1502"/>
              <w:gridCol w:w="1152"/>
              <w:gridCol w:w="1152"/>
            </w:tblGrid>
            <w:tr w:rsidR="00B95BCE" w:rsidRPr="0076118C">
              <w:tc>
                <w:tcPr>
                  <w:tcW w:w="0" w:type="auto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Уникальный номер реестровой записи 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Показател</w:t>
                  </w:r>
                  <w:proofErr w:type="gramStart"/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ь(</w:t>
                  </w:r>
                  <w:proofErr w:type="gramEnd"/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B95BCE" w:rsidRPr="0076118C">
              <w:tc>
                <w:tcPr>
                  <w:tcW w:w="0" w:type="auto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Очередной (2023)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i/>
                      <w:iCs/>
                      <w:color w:val="4A4A4A"/>
                      <w:sz w:val="28"/>
                      <w:szCs w:val="28"/>
                      <w:lang w:eastAsia="ru-RU"/>
                    </w:rPr>
                    <w:t>Допустимое (возможное) отклонение</w:t>
                  </w:r>
                  <w:proofErr w:type="gramStart"/>
                  <w:r w:rsidRPr="0076118C">
                    <w:rPr>
                      <w:rFonts w:ascii="Times New Roman" w:eastAsia="Times New Roman" w:hAnsi="Times New Roman" w:cs="Times New Roman"/>
                      <w:i/>
                      <w:iCs/>
                      <w:color w:val="4A4A4A"/>
                      <w:sz w:val="28"/>
                      <w:szCs w:val="28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1-й плановый (2024)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2-й плановый (2025) </w:t>
                  </w:r>
                </w:p>
              </w:tc>
            </w:tr>
            <w:tr w:rsidR="00B95BCE" w:rsidRPr="0076118C">
              <w:tc>
                <w:tcPr>
                  <w:tcW w:w="0" w:type="auto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5BCE" w:rsidRPr="0076118C"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910210.Р.44.0.АБ910001000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Колличество</w:t>
                  </w:r>
                  <w:proofErr w:type="spellEnd"/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 посетителей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4050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4100</w:t>
                  </w:r>
                </w:p>
              </w:tc>
            </w:tr>
            <w:tr w:rsidR="00B95BCE" w:rsidRPr="0076118C"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910210.Р.44.0.АБ910001000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Количесвто</w:t>
                  </w:r>
                  <w:proofErr w:type="spellEnd"/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 публичных показов музейных предметов в выставках и экспозициях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792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</w:tr>
          </w:tbl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B95BCE" w:rsidRPr="0076118C" w:rsidRDefault="00B95BCE" w:rsidP="00B95BCE">
      <w:pPr>
        <w:spacing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95BCE" w:rsidRPr="0076118C" w:rsidTr="00B95BCE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0"/>
            </w:tblGrid>
            <w:tr w:rsidR="00B95BCE" w:rsidRPr="0076118C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7"/>
                    <w:gridCol w:w="3068"/>
                    <w:gridCol w:w="2115"/>
                    <w:gridCol w:w="4470"/>
                    <w:gridCol w:w="280"/>
                  </w:tblGrid>
                  <w:tr w:rsidR="00B95BCE" w:rsidRPr="0076118C"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Число посетителей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 (%) 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B95BCE" w:rsidRPr="0076118C"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95BCE" w:rsidRPr="0076118C" w:rsidRDefault="00B95BCE" w:rsidP="00B9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A4A4A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7003"/>
                    <w:gridCol w:w="3920"/>
                    <w:gridCol w:w="1882"/>
                    <w:gridCol w:w="1682"/>
                  </w:tblGrid>
                  <w:tr w:rsidR="00B95BCE" w:rsidRPr="0076118C"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B95BCE" w:rsidRPr="0076118C" w:rsidRDefault="00B95BCE" w:rsidP="00B9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A4A4A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0"/>
                    <w:gridCol w:w="4573"/>
                    <w:gridCol w:w="1200"/>
                    <w:gridCol w:w="1087"/>
                    <w:gridCol w:w="1314"/>
                    <w:gridCol w:w="1508"/>
                    <w:gridCol w:w="1508"/>
                  </w:tblGrid>
                  <w:tr w:rsidR="00B95BCE" w:rsidRPr="0076118C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Очередной </w:t>
                        </w: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br/>
                          <w:t xml:space="preserve">(2023)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1-й плановый </w:t>
                        </w: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br/>
                          <w:t xml:space="preserve">(2024)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2-й плановый </w:t>
                        </w: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br/>
                          <w:t xml:space="preserve">(2025) </w:t>
                        </w:r>
                      </w:p>
                    </w:tc>
                  </w:tr>
                  <w:tr w:rsidR="00B95BCE" w:rsidRPr="0076118C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910210.Р.44.0.АБ910001000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4050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4100</w:t>
                        </w:r>
                      </w:p>
                    </w:tc>
                  </w:tr>
                  <w:tr w:rsidR="00B95BCE" w:rsidRPr="0076118C"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52.28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52.06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52.06</w:t>
                        </w:r>
                      </w:p>
                    </w:tc>
                  </w:tr>
                </w:tbl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B95BCE" w:rsidRPr="0076118C" w:rsidRDefault="00B95BCE" w:rsidP="00B95BC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Часть 2. Сведения о выполняемых работах </w:t>
      </w:r>
    </w:p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Раздел: 1</w:t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Наименование работы Формирование, учет, изучение, обеспечение физического сохранения и безопасности музейных предметов, музейных коллекций</w:t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 xml:space="preserve">Категории потребителей </w:t>
      </w:r>
    </w:p>
    <w:p w:rsidR="00B95BCE" w:rsidRPr="0076118C" w:rsidRDefault="00B95BCE" w:rsidP="00B95B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интересах общества</w:t>
      </w:r>
    </w:p>
    <w:p w:rsidR="00B95BCE" w:rsidRPr="0076118C" w:rsidRDefault="00B95BCE" w:rsidP="00B95B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интересах общества</w:t>
      </w:r>
    </w:p>
    <w:p w:rsidR="00B95BCE" w:rsidRPr="0076118C" w:rsidRDefault="00B95BCE" w:rsidP="00B95BCE">
      <w:pPr>
        <w:spacing w:after="24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B95BCE" w:rsidRPr="0076118C" w:rsidRDefault="00B95BCE" w:rsidP="00B95BCE">
      <w:pPr>
        <w:spacing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Показатели, характеризующие качество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95BCE" w:rsidRPr="0076118C" w:rsidTr="00B95BCE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7"/>
              <w:gridCol w:w="2310"/>
              <w:gridCol w:w="1636"/>
              <w:gridCol w:w="461"/>
              <w:gridCol w:w="1132"/>
              <w:gridCol w:w="1028"/>
              <w:gridCol w:w="1236"/>
              <w:gridCol w:w="1444"/>
              <w:gridCol w:w="1108"/>
              <w:gridCol w:w="1108"/>
            </w:tblGrid>
            <w:tr w:rsidR="00B95BCE" w:rsidRPr="0076118C">
              <w:tc>
                <w:tcPr>
                  <w:tcW w:w="0" w:type="auto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Уникальный номер реестровой записи 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Показател</w:t>
                  </w:r>
                  <w:proofErr w:type="gramStart"/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ь(</w:t>
                  </w:r>
                  <w:proofErr w:type="gramEnd"/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и) качества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B95BCE" w:rsidRPr="0076118C">
              <w:tc>
                <w:tcPr>
                  <w:tcW w:w="0" w:type="auto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b/>
                      <w:bCs/>
                      <w:color w:val="4A4A4A"/>
                      <w:sz w:val="28"/>
                      <w:szCs w:val="28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Отчетный </w:t>
                  </w:r>
                </w:p>
              </w:tc>
              <w:tc>
                <w:tcPr>
                  <w:tcW w:w="825" w:type="dxa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Текущий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Очередной (2022) </w:t>
                  </w:r>
                </w:p>
              </w:tc>
              <w:tc>
                <w:tcPr>
                  <w:tcW w:w="1500" w:type="dxa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i/>
                      <w:iCs/>
                      <w:color w:val="4A4A4A"/>
                      <w:sz w:val="28"/>
                      <w:szCs w:val="28"/>
                      <w:lang w:eastAsia="ru-RU"/>
                    </w:rPr>
                    <w:t>Допустимое (возможное) отклонение</w:t>
                  </w:r>
                  <w:proofErr w:type="gramStart"/>
                  <w:r w:rsidRPr="0076118C">
                    <w:rPr>
                      <w:rFonts w:ascii="Times New Roman" w:eastAsia="Times New Roman" w:hAnsi="Times New Roman" w:cs="Times New Roman"/>
                      <w:i/>
                      <w:iCs/>
                      <w:color w:val="4A4A4A"/>
                      <w:sz w:val="28"/>
                      <w:szCs w:val="28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975" w:type="dxa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1-й плановый (2023)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2-й плановый (2024) </w:t>
                  </w:r>
                </w:p>
              </w:tc>
            </w:tr>
            <w:tr w:rsidR="00B95BCE" w:rsidRPr="0076118C">
              <w:tc>
                <w:tcPr>
                  <w:tcW w:w="0" w:type="auto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95BCE" w:rsidRPr="0076118C"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910210.P.44.1.АБ920001000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Количество зарегистрированных музейных предметов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642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21105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21155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21205</w:t>
                  </w:r>
                </w:p>
              </w:tc>
            </w:tr>
            <w:tr w:rsidR="00B95BCE" w:rsidRPr="0076118C"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910210.P.44.1.АБ920001000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Количество вновь поступивших предметов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642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B95BCE" w:rsidRPr="0076118C"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910210.P.44.1.АБ920001000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Доля отреставрированных музейных предметов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744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0,1%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0,1%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5BCE" w:rsidRPr="0076118C" w:rsidRDefault="00B95BCE" w:rsidP="00B95BC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  <w:r w:rsidRPr="0076118C"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  <w:t>0,1%</w:t>
                  </w:r>
                </w:p>
              </w:tc>
            </w:tr>
          </w:tbl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B95BCE" w:rsidRPr="0076118C" w:rsidRDefault="00B95BCE" w:rsidP="00B95BCE">
      <w:pPr>
        <w:spacing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Показатели, характеризующие объем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95BCE" w:rsidRPr="0076118C" w:rsidTr="00B95BCE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0"/>
            </w:tblGrid>
            <w:tr w:rsidR="00B95BCE" w:rsidRPr="0076118C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7"/>
                    <w:gridCol w:w="2141"/>
                    <w:gridCol w:w="7330"/>
                    <w:gridCol w:w="2202"/>
                    <w:gridCol w:w="280"/>
                  </w:tblGrid>
                  <w:tr w:rsidR="00B95BCE" w:rsidRPr="0076118C"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Формирование, учет, изучение, обеспечение физического сохранения и безопасности музейных предметов, музейных коллекций в соответствии с нормативными документами по формированию, учету, сохранения и использования музейных предметов и музейных коллекций; сбор предметов, представляющих историческую и культурную ценность; создание пакета документов, касающихся приема-передачи, движения, проверки наличия и состояния сохранности, изученности музейных предметов; внесение предметов в электронный каталог.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 (%) 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B95BCE" w:rsidRPr="0076118C"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B95BCE" w:rsidRPr="0076118C" w:rsidRDefault="00B95BCE" w:rsidP="00B9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A4A4A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6891"/>
                    <w:gridCol w:w="4089"/>
                    <w:gridCol w:w="1852"/>
                    <w:gridCol w:w="1655"/>
                  </w:tblGrid>
                  <w:tr w:rsidR="00B95BCE" w:rsidRPr="0076118C"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Единица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642</w:t>
                        </w:r>
                      </w:p>
                    </w:tc>
                  </w:tr>
                </w:tbl>
                <w:p w:rsidR="00B95BCE" w:rsidRPr="0076118C" w:rsidRDefault="00B95BCE" w:rsidP="00B95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4A4A4A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0"/>
                    <w:gridCol w:w="4573"/>
                    <w:gridCol w:w="1200"/>
                    <w:gridCol w:w="1087"/>
                    <w:gridCol w:w="1314"/>
                    <w:gridCol w:w="1508"/>
                    <w:gridCol w:w="1508"/>
                  </w:tblGrid>
                  <w:tr w:rsidR="00B95BCE" w:rsidRPr="0076118C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Отчетный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Текущий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Очередной </w:t>
                        </w: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br/>
                          <w:t xml:space="preserve">(2022)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1-й плановый </w:t>
                        </w: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br/>
                          <w:t xml:space="preserve">(2023)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2-й плановый </w:t>
                        </w: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br/>
                          <w:t xml:space="preserve">(2024) </w:t>
                        </w:r>
                      </w:p>
                    </w:tc>
                  </w:tr>
                  <w:tr w:rsidR="00B95BCE" w:rsidRPr="0076118C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910210.P.44.1.АБ920001000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21105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21155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  <w:t>21205</w:t>
                        </w:r>
                      </w:p>
                    </w:tc>
                  </w:tr>
                  <w:tr w:rsidR="00B95BCE" w:rsidRPr="0076118C">
                    <w:tc>
                      <w:tcPr>
                        <w:tcW w:w="0" w:type="auto"/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  <w:r w:rsidRPr="00761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4A4A"/>
                            <w:sz w:val="28"/>
                            <w:szCs w:val="28"/>
                            <w:lang w:eastAsia="ru-RU"/>
                          </w:rPr>
                          <w:t xml:space="preserve">Среднегодовой размер платы (цена, тариф)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color w:val="4A4A4A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95BCE" w:rsidRPr="0076118C" w:rsidRDefault="00B95BCE" w:rsidP="00B95BCE">
                        <w:pPr>
                          <w:spacing w:before="150"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95BCE" w:rsidRPr="0076118C" w:rsidRDefault="00B95BCE" w:rsidP="00B95BC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4A4A4A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Часть 3. Прочие сведения о государственном (муниципальном) задании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0"/>
        <w:gridCol w:w="7300"/>
      </w:tblGrid>
      <w:tr w:rsidR="00B95BCE" w:rsidRPr="0076118C" w:rsidTr="00B95BCE">
        <w:tc>
          <w:tcPr>
            <w:tcW w:w="2500" w:type="pct"/>
            <w:vAlign w:val="center"/>
            <w:hideMark/>
          </w:tcPr>
          <w:p w:rsidR="00B95BCE" w:rsidRPr="0076118C" w:rsidRDefault="00B95BCE" w:rsidP="00B95BCE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Основания для досрочного прекращения выполнения государственного (муниципального) задания 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Ликвидация учреждения. Реорганизация учреждения. Перераспределение полномочий, повлекшее исключение из компетенции учреждения полномочий по оказанию муниципальной услуги. Исключение муниципальной услуги из перечня муниципальных услуг. Иные предусмотренные правовыми актами случаи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лекущие за собой невозможность оказания муниципальной услуги, не устранимую в краткосрочной перспективе.</w:t>
            </w:r>
          </w:p>
        </w:tc>
      </w:tr>
      <w:tr w:rsidR="00B95BCE" w:rsidRPr="0076118C" w:rsidTr="00B95BCE">
        <w:trPr>
          <w:trHeight w:val="225"/>
        </w:trPr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BCE" w:rsidRPr="0076118C" w:rsidTr="00B95BCE">
        <w:tc>
          <w:tcPr>
            <w:tcW w:w="2500" w:type="pct"/>
            <w:vAlign w:val="center"/>
            <w:hideMark/>
          </w:tcPr>
          <w:p w:rsidR="00B95BCE" w:rsidRPr="0076118C" w:rsidRDefault="00B95BCE" w:rsidP="00B95BCE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Иная информация, необходимая для выполнения (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 выполнением) государственного (муниципального) задания 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Учреждение ведет учет и осуществляет хранение документов, касающихся выполнения муниципального задания. 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      </w: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Порядок </w:t>
      </w:r>
      <w:proofErr w:type="gramStart"/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контроля за</w:t>
      </w:r>
      <w:proofErr w:type="gramEnd"/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выполнением государственного (муниципального) задания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556"/>
        <w:gridCol w:w="5922"/>
      </w:tblGrid>
      <w:tr w:rsidR="00B95BCE" w:rsidRPr="0076118C" w:rsidTr="00B95BCE">
        <w:tc>
          <w:tcPr>
            <w:tcW w:w="15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50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1950" w:type="pct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 выполнением государственного (муниципального) задания </w:t>
            </w:r>
          </w:p>
        </w:tc>
      </w:tr>
      <w:tr w:rsidR="00B95BCE" w:rsidRPr="0076118C" w:rsidTr="00B95BCE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Внеплановая проверк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а-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камеральная и выездная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 основаниям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Администрация муниципального образования городское поселение "Город Малоярославец"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осуществляющая контроль за выполнением муниципального задания</w:t>
            </w:r>
          </w:p>
        </w:tc>
      </w:tr>
      <w:tr w:rsidR="00B95BCE" w:rsidRPr="0076118C" w:rsidTr="00B95BCE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Плановая проверка, камеральная и выездная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Не реже 1 раза в три года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Администрация муниципального образования городское поселение "Город Малоярославец"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осуществляющая контроль за выполнением муниципального задания</w:t>
            </w:r>
          </w:p>
        </w:tc>
      </w:tr>
      <w:tr w:rsidR="00B95BCE" w:rsidRPr="0076118C" w:rsidTr="00B95BCE"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Статистическая форма 8-НК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По итогам года</w:t>
            </w:r>
          </w:p>
        </w:tc>
        <w:tc>
          <w:tcPr>
            <w:tcW w:w="0" w:type="auto"/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Администрация муниципального образования городское поселение "Город Малоярославец"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осуществляющая контроль за выполнением муниципального задания, Министерство культуры г. Калуга</w:t>
            </w:r>
          </w:p>
        </w:tc>
      </w:tr>
    </w:tbl>
    <w:p w:rsidR="00B95BCE" w:rsidRPr="0076118C" w:rsidRDefault="00B95BCE" w:rsidP="00B95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76118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Требования к отчетности о выполнении государственного (муниципального) задания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2"/>
        <w:gridCol w:w="8468"/>
      </w:tblGrid>
      <w:tr w:rsidR="00B95BCE" w:rsidRPr="0076118C" w:rsidTr="00B95BCE"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Периодичность представления отчетов о выполнении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proofErr w:type="gram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По итогам первого полугодия - до 10 числа месяца, следующего за отчетным, предварительный отчет за 11 месяцев, годовой - до 10 января, следующего за отчетным финансовым годом. </w:t>
            </w:r>
            <w:proofErr w:type="gramEnd"/>
          </w:p>
        </w:tc>
      </w:tr>
      <w:tr w:rsidR="00B95BCE" w:rsidRPr="0076118C" w:rsidTr="00B95BCE"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Сроки предоставления отчетов исполнения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proofErr w:type="gram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По итогам первого полугодия - до 10 числа месяца, следующего за отчетным, предварительный отчет за 11 месяцев, годовой - до 10 января, следующего за отчетным финансовым годом. </w:t>
            </w:r>
            <w:proofErr w:type="gramEnd"/>
          </w:p>
        </w:tc>
      </w:tr>
      <w:tr w:rsidR="00B95BCE" w:rsidRPr="0076118C" w:rsidTr="00B95BCE"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Иные требования к отчетности о выполнении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При необходимости - Пояснительная записка к отчету об исполнении муниципального задания.</w:t>
            </w:r>
          </w:p>
        </w:tc>
      </w:tr>
      <w:tr w:rsidR="00B95BCE" w:rsidRPr="0076118C" w:rsidTr="00B95BCE">
        <w:tc>
          <w:tcPr>
            <w:tcW w:w="2100" w:type="pct"/>
            <w:tcMar>
              <w:top w:w="22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Иные показатели, связанные с выполнением государственного (муниципального) задания </w:t>
            </w:r>
          </w:p>
        </w:tc>
        <w:tc>
          <w:tcPr>
            <w:tcW w:w="0" w:type="auto"/>
            <w:tcMar>
              <w:top w:w="22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B95BCE" w:rsidRPr="0076118C" w:rsidRDefault="00B95BCE" w:rsidP="00B95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Оценка выполнения муниципального задания, а также допустимые (возможные) отклонения от установленных показателей объема и (или</w:t>
            </w:r>
            <w:proofErr w:type="gramStart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)к</w:t>
            </w:r>
            <w:proofErr w:type="gramEnd"/>
            <w:r w:rsidRPr="0076118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ачества, характеризующие оказание муниципальных услуг, осуществляется в соответствии с Порядком проведения оценки выполнения муниципальным учреждением муниципального задания.</w:t>
            </w:r>
          </w:p>
        </w:tc>
      </w:tr>
    </w:tbl>
    <w:p w:rsidR="00691DCE" w:rsidRPr="0076118C" w:rsidRDefault="00691DCE">
      <w:pPr>
        <w:rPr>
          <w:rFonts w:ascii="Times New Roman" w:hAnsi="Times New Roman" w:cs="Times New Roman"/>
          <w:sz w:val="28"/>
          <w:szCs w:val="28"/>
        </w:rPr>
      </w:pPr>
    </w:p>
    <w:sectPr w:rsidR="00691DCE" w:rsidRPr="0076118C" w:rsidSect="00B95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1EDF"/>
    <w:multiLevelType w:val="multilevel"/>
    <w:tmpl w:val="295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569C0"/>
    <w:multiLevelType w:val="multilevel"/>
    <w:tmpl w:val="5636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2609"/>
    <w:rsid w:val="0014502E"/>
    <w:rsid w:val="00382CD8"/>
    <w:rsid w:val="005254B5"/>
    <w:rsid w:val="00691DCE"/>
    <w:rsid w:val="0076118C"/>
    <w:rsid w:val="00B95BCE"/>
    <w:rsid w:val="00D42609"/>
    <w:rsid w:val="00D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BCE"/>
    <w:rPr>
      <w:b/>
      <w:bCs/>
    </w:rPr>
  </w:style>
  <w:style w:type="paragraph" w:styleId="a4">
    <w:name w:val="No Spacing"/>
    <w:uiPriority w:val="1"/>
    <w:qFormat/>
    <w:rsid w:val="005254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4005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838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97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47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682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2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227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57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61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</cp:revision>
  <dcterms:created xsi:type="dcterms:W3CDTF">2022-09-21T07:37:00Z</dcterms:created>
  <dcterms:modified xsi:type="dcterms:W3CDTF">2023-01-23T06:43:00Z</dcterms:modified>
</cp:coreProperties>
</file>