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12" w:rsidRPr="00386712" w:rsidRDefault="00386712" w:rsidP="00386712">
      <w:pPr>
        <w:jc w:val="center"/>
        <w:rPr>
          <w:b/>
          <w:sz w:val="26"/>
          <w:szCs w:val="26"/>
        </w:rPr>
      </w:pPr>
      <w:r w:rsidRPr="00386712">
        <w:rPr>
          <w:noProof/>
          <w:sz w:val="26"/>
          <w:szCs w:val="26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12" w:rsidRPr="00386712" w:rsidRDefault="00386712" w:rsidP="00386712">
      <w:pPr>
        <w:pStyle w:val="a9"/>
        <w:spacing w:line="360" w:lineRule="auto"/>
        <w:rPr>
          <w:rFonts w:ascii="Georgia" w:hAnsi="Georgia"/>
          <w:sz w:val="26"/>
          <w:szCs w:val="26"/>
        </w:rPr>
      </w:pPr>
      <w:proofErr w:type="gramStart"/>
      <w:r w:rsidRPr="00386712">
        <w:rPr>
          <w:rFonts w:ascii="Georgia" w:hAnsi="Georgia"/>
          <w:sz w:val="26"/>
          <w:szCs w:val="26"/>
        </w:rPr>
        <w:t>К</w:t>
      </w:r>
      <w:proofErr w:type="gramEnd"/>
      <w:r w:rsidRPr="00386712">
        <w:rPr>
          <w:rFonts w:ascii="Georgia" w:hAnsi="Georgia"/>
          <w:sz w:val="26"/>
          <w:szCs w:val="26"/>
        </w:rPr>
        <w:t xml:space="preserve"> А Л У Ж С К А Я   О Б Л А С Т Ь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МАЛОЯРОСЛАВЕЦКИЙ РАЙОН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ГОРОДСКАЯ ДУМА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ГОРОДСКОГО ПОСЕЛЕНИЯ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«ГОРОД МАЛОЯРОСЛАВЕЦ»</w:t>
      </w:r>
    </w:p>
    <w:p w:rsidR="00386712" w:rsidRPr="00386712" w:rsidRDefault="00386712" w:rsidP="00386712">
      <w:pPr>
        <w:pStyle w:val="a9"/>
        <w:rPr>
          <w:rFonts w:ascii="Georgia" w:hAnsi="Georgia"/>
          <w:sz w:val="26"/>
          <w:szCs w:val="26"/>
        </w:rPr>
      </w:pPr>
    </w:p>
    <w:p w:rsidR="00386712" w:rsidRPr="00386712" w:rsidRDefault="00386712" w:rsidP="00386712">
      <w:pPr>
        <w:pStyle w:val="ab"/>
        <w:rPr>
          <w:sz w:val="26"/>
          <w:szCs w:val="26"/>
        </w:rPr>
      </w:pPr>
      <w:proofErr w:type="gramStart"/>
      <w:r w:rsidRPr="00386712">
        <w:rPr>
          <w:sz w:val="26"/>
          <w:szCs w:val="26"/>
        </w:rPr>
        <w:t>Р</w:t>
      </w:r>
      <w:proofErr w:type="gramEnd"/>
      <w:r w:rsidRPr="00386712">
        <w:rPr>
          <w:sz w:val="26"/>
          <w:szCs w:val="26"/>
        </w:rPr>
        <w:t xml:space="preserve"> Е Ш Е Н И Е</w:t>
      </w:r>
    </w:p>
    <w:p w:rsidR="00386712" w:rsidRPr="00445845" w:rsidRDefault="00742E7D" w:rsidP="00386712">
      <w:pPr>
        <w:pBdr>
          <w:top w:val="thinThickMediumGap" w:sz="24" w:space="0" w:color="auto"/>
        </w:pBdr>
        <w:rPr>
          <w:rFonts w:ascii="Times New Roman" w:hAnsi="Times New Roman" w:cs="Times New Roman"/>
          <w:sz w:val="26"/>
          <w:szCs w:val="26"/>
        </w:rPr>
      </w:pPr>
      <w:r w:rsidRPr="0044584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>3</w:t>
      </w:r>
      <w:r w:rsidRPr="00445845">
        <w:rPr>
          <w:rFonts w:ascii="Times New Roman" w:hAnsi="Times New Roman" w:cs="Times New Roman"/>
          <w:b/>
          <w:sz w:val="26"/>
          <w:szCs w:val="26"/>
        </w:rPr>
        <w:t>0</w:t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 xml:space="preserve"> марта 2023 года</w:t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445845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E35544">
        <w:rPr>
          <w:rFonts w:ascii="Times New Roman" w:hAnsi="Times New Roman" w:cs="Times New Roman"/>
          <w:b/>
          <w:sz w:val="26"/>
          <w:szCs w:val="26"/>
        </w:rPr>
        <w:t>261</w:t>
      </w:r>
    </w:p>
    <w:p w:rsidR="00ED5249" w:rsidRDefault="00386712" w:rsidP="00BA1194">
      <w:pPr>
        <w:spacing w:after="0" w:line="240" w:lineRule="auto"/>
        <w:ind w:right="2267"/>
        <w:jc w:val="both"/>
        <w:rPr>
          <w:rFonts w:ascii="Times New Roman" w:hAnsi="Times New Roman"/>
          <w:b/>
          <w:sz w:val="26"/>
          <w:szCs w:val="26"/>
        </w:rPr>
      </w:pPr>
      <w:r w:rsidRPr="00803BCD">
        <w:rPr>
          <w:rFonts w:ascii="Times New Roman" w:hAnsi="Times New Roman" w:cs="Times New Roman"/>
          <w:b/>
          <w:sz w:val="26"/>
          <w:szCs w:val="26"/>
        </w:rPr>
        <w:t>Об утверждении</w:t>
      </w:r>
      <w:r w:rsidR="001A6B1F" w:rsidRPr="00803BCD">
        <w:rPr>
          <w:rFonts w:ascii="Times New Roman" w:hAnsi="Times New Roman" w:cs="Times New Roman"/>
          <w:b/>
          <w:sz w:val="26"/>
          <w:szCs w:val="26"/>
        </w:rPr>
        <w:t xml:space="preserve"> тарифов на </w:t>
      </w:r>
      <w:r w:rsidRPr="00803BCD">
        <w:rPr>
          <w:rFonts w:ascii="Times New Roman" w:hAnsi="Times New Roman" w:cs="Times New Roman"/>
          <w:b/>
          <w:sz w:val="26"/>
          <w:szCs w:val="26"/>
        </w:rPr>
        <w:t>услуг</w:t>
      </w:r>
      <w:r w:rsidR="001A6B1F" w:rsidRPr="00803BCD">
        <w:rPr>
          <w:rFonts w:ascii="Times New Roman" w:hAnsi="Times New Roman" w:cs="Times New Roman"/>
          <w:b/>
          <w:sz w:val="26"/>
          <w:szCs w:val="26"/>
        </w:rPr>
        <w:t>и, предоставляемые</w:t>
      </w:r>
      <w:r w:rsidR="00803BCD" w:rsidRPr="00803BCD">
        <w:rPr>
          <w:rFonts w:ascii="Times New Roman" w:hAnsi="Times New Roman"/>
          <w:b/>
          <w:sz w:val="26"/>
          <w:szCs w:val="26"/>
        </w:rPr>
        <w:t xml:space="preserve"> </w:t>
      </w:r>
    </w:p>
    <w:p w:rsidR="00386712" w:rsidRPr="00803BCD" w:rsidRDefault="00ED5249" w:rsidP="00BA1194">
      <w:pPr>
        <w:spacing w:after="0" w:line="240" w:lineRule="auto"/>
        <w:ind w:right="22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УМП </w:t>
      </w:r>
      <w:r w:rsidR="00DC00B4" w:rsidRPr="00803BCD">
        <w:rPr>
          <w:rFonts w:ascii="Times New Roman" w:hAnsi="Times New Roman" w:cs="Times New Roman"/>
          <w:b/>
          <w:sz w:val="26"/>
          <w:szCs w:val="26"/>
        </w:rPr>
        <w:t>«</w:t>
      </w:r>
      <w:r w:rsidR="00A311E0" w:rsidRPr="00803BCD">
        <w:rPr>
          <w:rFonts w:ascii="Times New Roman" w:hAnsi="Times New Roman" w:cs="Times New Roman"/>
          <w:b/>
          <w:sz w:val="26"/>
          <w:szCs w:val="26"/>
        </w:rPr>
        <w:t>Водоканал</w:t>
      </w:r>
      <w:r w:rsidR="00386712" w:rsidRPr="00803BCD">
        <w:rPr>
          <w:rFonts w:ascii="Times New Roman" w:hAnsi="Times New Roman" w:cs="Times New Roman"/>
          <w:b/>
          <w:sz w:val="26"/>
          <w:szCs w:val="26"/>
        </w:rPr>
        <w:t>»</w:t>
      </w:r>
    </w:p>
    <w:p w:rsidR="00386712" w:rsidRPr="00445845" w:rsidRDefault="00386712" w:rsidP="00ED524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86712" w:rsidRPr="00BA1194" w:rsidRDefault="001A6B1F" w:rsidP="002C576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A1194">
        <w:rPr>
          <w:rFonts w:ascii="Times New Roman" w:hAnsi="Times New Roman" w:cs="Times New Roman"/>
          <w:sz w:val="26"/>
          <w:szCs w:val="26"/>
        </w:rPr>
        <w:t xml:space="preserve">На </w:t>
      </w:r>
      <w:r w:rsidR="00E35544" w:rsidRPr="00BA1194">
        <w:rPr>
          <w:rFonts w:ascii="Times New Roman" w:hAnsi="Times New Roman" w:cs="Times New Roman"/>
          <w:sz w:val="26"/>
          <w:szCs w:val="26"/>
        </w:rPr>
        <w:t xml:space="preserve">основании письма от 29.03.2023 </w:t>
      </w:r>
      <w:r w:rsidR="00BF455D" w:rsidRPr="00BA1194">
        <w:rPr>
          <w:rFonts w:ascii="Times New Roman" w:hAnsi="Times New Roman" w:cs="Times New Roman"/>
          <w:sz w:val="26"/>
          <w:szCs w:val="26"/>
        </w:rPr>
        <w:t>№</w:t>
      </w:r>
      <w:r w:rsidR="00E35544" w:rsidRPr="00BA1194">
        <w:rPr>
          <w:rFonts w:ascii="Times New Roman" w:hAnsi="Times New Roman" w:cs="Times New Roman"/>
          <w:sz w:val="26"/>
          <w:szCs w:val="26"/>
        </w:rPr>
        <w:t xml:space="preserve">197 </w:t>
      </w:r>
      <w:r w:rsidR="00ED5249">
        <w:rPr>
          <w:rFonts w:ascii="Times New Roman" w:hAnsi="Times New Roman"/>
          <w:sz w:val="26"/>
          <w:szCs w:val="26"/>
        </w:rPr>
        <w:t>УМП</w:t>
      </w:r>
      <w:r w:rsidR="002C576C" w:rsidRPr="00BA1194">
        <w:rPr>
          <w:rFonts w:ascii="Times New Roman" w:hAnsi="Times New Roman"/>
          <w:sz w:val="26"/>
          <w:szCs w:val="26"/>
        </w:rPr>
        <w:t xml:space="preserve"> «Водоканал» </w:t>
      </w:r>
      <w:r w:rsidRPr="00BA1194">
        <w:rPr>
          <w:rFonts w:ascii="Times New Roman" w:hAnsi="Times New Roman" w:cs="Times New Roman"/>
          <w:sz w:val="26"/>
          <w:szCs w:val="26"/>
        </w:rPr>
        <w:t>и экономически обоснованны</w:t>
      </w:r>
      <w:r w:rsidR="0009773B" w:rsidRPr="00BA1194">
        <w:rPr>
          <w:rFonts w:ascii="Times New Roman" w:hAnsi="Times New Roman" w:cs="Times New Roman"/>
          <w:sz w:val="26"/>
          <w:szCs w:val="26"/>
        </w:rPr>
        <w:t>х расчётов</w:t>
      </w:r>
      <w:r w:rsidRPr="00BA1194">
        <w:rPr>
          <w:rFonts w:ascii="Times New Roman" w:hAnsi="Times New Roman" w:cs="Times New Roman"/>
          <w:sz w:val="26"/>
          <w:szCs w:val="26"/>
        </w:rPr>
        <w:t xml:space="preserve"> на тарифы, предоставляемых услуг </w:t>
      </w:r>
      <w:r w:rsidR="00BA1194">
        <w:rPr>
          <w:rFonts w:ascii="Times New Roman" w:hAnsi="Times New Roman"/>
          <w:sz w:val="26"/>
          <w:szCs w:val="26"/>
        </w:rPr>
        <w:t>УМП</w:t>
      </w:r>
      <w:r w:rsidRPr="00BA1194">
        <w:rPr>
          <w:rFonts w:ascii="Times New Roman" w:hAnsi="Times New Roman" w:cs="Times New Roman"/>
          <w:sz w:val="26"/>
          <w:szCs w:val="26"/>
        </w:rPr>
        <w:t xml:space="preserve"> «Водоканал», в</w:t>
      </w:r>
      <w:r w:rsidR="001748A3" w:rsidRPr="00BA119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10" w:anchor="/document/186367/entry/0" w:history="1">
        <w:r w:rsidR="00386712" w:rsidRPr="00BA1194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 w:rsidR="001748A3" w:rsidRPr="00BA1194"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="00386712" w:rsidRPr="00BA1194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1748A3" w:rsidRPr="00BA1194">
        <w:rPr>
          <w:rFonts w:ascii="Times New Roman" w:hAnsi="Times New Roman" w:cs="Times New Roman"/>
          <w:sz w:val="26"/>
          <w:szCs w:val="26"/>
        </w:rPr>
        <w:t>руководствуясь ст.</w:t>
      </w:r>
      <w:r w:rsidR="00DC00B4" w:rsidRPr="00BA1194">
        <w:rPr>
          <w:rFonts w:ascii="Times New Roman" w:hAnsi="Times New Roman" w:cs="Times New Roman"/>
          <w:sz w:val="26"/>
          <w:szCs w:val="26"/>
        </w:rPr>
        <w:t xml:space="preserve"> </w:t>
      </w:r>
      <w:r w:rsidR="00386712" w:rsidRPr="00BA1194">
        <w:rPr>
          <w:rFonts w:ascii="Times New Roman" w:hAnsi="Times New Roman" w:cs="Times New Roman"/>
          <w:sz w:val="26"/>
          <w:szCs w:val="26"/>
        </w:rPr>
        <w:t xml:space="preserve">26 </w:t>
      </w:r>
      <w:hyperlink r:id="rId11" w:history="1">
        <w:proofErr w:type="gramStart"/>
        <w:r w:rsidR="00386712" w:rsidRPr="00BA1194">
          <w:rPr>
            <w:rFonts w:ascii="Times New Roman" w:hAnsi="Times New Roman" w:cs="Times New Roman"/>
            <w:sz w:val="26"/>
            <w:szCs w:val="26"/>
          </w:rPr>
          <w:t>Устав</w:t>
        </w:r>
        <w:proofErr w:type="gramEnd"/>
      </w:hyperlink>
      <w:r w:rsidR="00386712" w:rsidRPr="00BA1194">
        <w:rPr>
          <w:rFonts w:ascii="Times New Roman" w:hAnsi="Times New Roman" w:cs="Times New Roman"/>
          <w:sz w:val="26"/>
          <w:szCs w:val="26"/>
        </w:rPr>
        <w:t xml:space="preserve">а муниципального образования городское поселение </w:t>
      </w:r>
      <w:r w:rsidR="00445845" w:rsidRPr="00BA1194">
        <w:rPr>
          <w:rFonts w:ascii="Times New Roman" w:hAnsi="Times New Roman" w:cs="Times New Roman"/>
          <w:sz w:val="26"/>
          <w:szCs w:val="26"/>
        </w:rPr>
        <w:t>«Г</w:t>
      </w:r>
      <w:r w:rsidR="00386712" w:rsidRPr="00BA1194">
        <w:rPr>
          <w:rFonts w:ascii="Times New Roman" w:hAnsi="Times New Roman" w:cs="Times New Roman"/>
          <w:sz w:val="26"/>
          <w:szCs w:val="26"/>
        </w:rPr>
        <w:t>ород Малоярославец, городская Дума городского поселения «Город Малоярославец»</w:t>
      </w:r>
    </w:p>
    <w:p w:rsidR="00386712" w:rsidRPr="00BA1194" w:rsidRDefault="00386712" w:rsidP="003867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6712" w:rsidRDefault="00386712" w:rsidP="0038671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845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09773B" w:rsidRPr="00BA1194" w:rsidRDefault="0009773B" w:rsidP="0038671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5544" w:rsidRPr="00BA1194" w:rsidRDefault="00386712" w:rsidP="00E35544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spacing w:after="6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A1194">
        <w:rPr>
          <w:rFonts w:ascii="Times New Roman" w:eastAsiaTheme="minorHAnsi" w:hAnsi="Times New Roman"/>
          <w:sz w:val="26"/>
          <w:szCs w:val="26"/>
        </w:rPr>
        <w:t xml:space="preserve">Утвердить </w:t>
      </w:r>
      <w:r w:rsidR="001A6B1F" w:rsidRPr="00BA1194">
        <w:rPr>
          <w:rFonts w:ascii="Times New Roman" w:eastAsiaTheme="minorHAnsi" w:hAnsi="Times New Roman"/>
          <w:sz w:val="26"/>
          <w:szCs w:val="26"/>
        </w:rPr>
        <w:t xml:space="preserve">тарифы на услуги, предоставляемые </w:t>
      </w:r>
      <w:r w:rsidR="00ED5249">
        <w:rPr>
          <w:rFonts w:ascii="Times New Roman" w:hAnsi="Times New Roman"/>
          <w:sz w:val="26"/>
          <w:szCs w:val="26"/>
        </w:rPr>
        <w:t xml:space="preserve">УМП </w:t>
      </w:r>
      <w:r w:rsidR="001A6B1F" w:rsidRPr="00BA1194">
        <w:rPr>
          <w:rFonts w:ascii="Times New Roman" w:hAnsi="Times New Roman" w:cs="Times New Roman"/>
          <w:sz w:val="26"/>
          <w:szCs w:val="26"/>
        </w:rPr>
        <w:t xml:space="preserve">«Водоканал» </w:t>
      </w:r>
      <w:r w:rsidR="001A6B1F" w:rsidRPr="00BA1194">
        <w:rPr>
          <w:rFonts w:ascii="Times New Roman" w:eastAsiaTheme="minorHAnsi" w:hAnsi="Times New Roman"/>
          <w:sz w:val="26"/>
          <w:szCs w:val="26"/>
        </w:rPr>
        <w:t>юридическим лицам</w:t>
      </w:r>
      <w:r w:rsidR="007075D6" w:rsidRPr="00BA1194">
        <w:rPr>
          <w:rFonts w:ascii="Times New Roman" w:eastAsiaTheme="minorHAnsi" w:hAnsi="Times New Roman"/>
          <w:sz w:val="26"/>
          <w:szCs w:val="26"/>
        </w:rPr>
        <w:t>,</w:t>
      </w:r>
      <w:r w:rsidR="001A6B1F" w:rsidRPr="00BA1194">
        <w:rPr>
          <w:rFonts w:ascii="Times New Roman" w:eastAsiaTheme="minorHAnsi" w:hAnsi="Times New Roman"/>
          <w:sz w:val="26"/>
          <w:szCs w:val="26"/>
        </w:rPr>
        <w:t xml:space="preserve"> индивидуальным</w:t>
      </w:r>
      <w:r w:rsidR="00484852" w:rsidRPr="00BA1194">
        <w:rPr>
          <w:rFonts w:ascii="Times New Roman" w:eastAsiaTheme="minorHAnsi" w:hAnsi="Times New Roman"/>
          <w:sz w:val="26"/>
          <w:szCs w:val="26"/>
        </w:rPr>
        <w:t xml:space="preserve"> предпри</w:t>
      </w:r>
      <w:r w:rsidR="00DC00B4" w:rsidRPr="00BA1194">
        <w:rPr>
          <w:rFonts w:ascii="Times New Roman" w:eastAsiaTheme="minorHAnsi" w:hAnsi="Times New Roman"/>
          <w:sz w:val="26"/>
          <w:szCs w:val="26"/>
        </w:rPr>
        <w:t>нимател</w:t>
      </w:r>
      <w:r w:rsidR="007075D6" w:rsidRPr="00BA1194">
        <w:rPr>
          <w:rFonts w:ascii="Times New Roman" w:eastAsiaTheme="minorHAnsi" w:hAnsi="Times New Roman"/>
          <w:sz w:val="26"/>
          <w:szCs w:val="26"/>
        </w:rPr>
        <w:t>ям и</w:t>
      </w:r>
      <w:r w:rsidR="001A6B1F" w:rsidRPr="00BA1194">
        <w:rPr>
          <w:rFonts w:ascii="Times New Roman" w:eastAsiaTheme="minorHAnsi" w:hAnsi="Times New Roman"/>
          <w:sz w:val="26"/>
          <w:szCs w:val="26"/>
        </w:rPr>
        <w:t xml:space="preserve"> физическим лицам, а также на</w:t>
      </w:r>
      <w:r w:rsidR="00B90CAA" w:rsidRPr="00BA1194">
        <w:rPr>
          <w:rFonts w:ascii="Times New Roman" w:eastAsiaTheme="minorHAnsi" w:hAnsi="Times New Roman"/>
          <w:sz w:val="26"/>
          <w:szCs w:val="26"/>
        </w:rPr>
        <w:t xml:space="preserve"> услуг</w:t>
      </w:r>
      <w:r w:rsidR="001A6B1F" w:rsidRPr="00BA1194">
        <w:rPr>
          <w:rFonts w:ascii="Times New Roman" w:eastAsiaTheme="minorHAnsi" w:hAnsi="Times New Roman"/>
          <w:sz w:val="26"/>
          <w:szCs w:val="26"/>
        </w:rPr>
        <w:t>и</w:t>
      </w:r>
      <w:r w:rsidR="00B90CAA" w:rsidRPr="00BA1194">
        <w:rPr>
          <w:rFonts w:ascii="Times New Roman" w:eastAsiaTheme="minorHAnsi" w:hAnsi="Times New Roman"/>
          <w:sz w:val="26"/>
          <w:szCs w:val="26"/>
        </w:rPr>
        <w:t xml:space="preserve"> химико-бактериологической испытательной лаборатории контроля вод (ХБИЛКВ) согласно </w:t>
      </w:r>
      <w:r w:rsidR="007075D6" w:rsidRPr="00BA1194">
        <w:rPr>
          <w:rFonts w:ascii="Times New Roman" w:eastAsiaTheme="minorHAnsi" w:hAnsi="Times New Roman"/>
          <w:sz w:val="26"/>
          <w:szCs w:val="26"/>
        </w:rPr>
        <w:t xml:space="preserve">приложениям №1,2,3 к настоящему </w:t>
      </w:r>
      <w:r w:rsidR="00E35544" w:rsidRPr="00BA1194">
        <w:rPr>
          <w:rFonts w:ascii="Times New Roman" w:eastAsiaTheme="minorHAnsi" w:hAnsi="Times New Roman"/>
          <w:sz w:val="26"/>
          <w:szCs w:val="26"/>
        </w:rPr>
        <w:t>Р</w:t>
      </w:r>
      <w:r w:rsidR="007075D6" w:rsidRPr="00BA1194">
        <w:rPr>
          <w:rFonts w:ascii="Times New Roman" w:eastAsiaTheme="minorHAnsi" w:hAnsi="Times New Roman"/>
          <w:sz w:val="26"/>
          <w:szCs w:val="26"/>
        </w:rPr>
        <w:t>ешению.</w:t>
      </w:r>
    </w:p>
    <w:p w:rsidR="00E35544" w:rsidRPr="00BA1194" w:rsidRDefault="00386712" w:rsidP="00E35544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spacing w:after="6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A1194">
        <w:rPr>
          <w:rFonts w:ascii="Times New Roman" w:eastAsiaTheme="minorHAnsi" w:hAnsi="Times New Roman"/>
          <w:sz w:val="26"/>
          <w:szCs w:val="26"/>
        </w:rPr>
        <w:t>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сети Интернет.</w:t>
      </w:r>
    </w:p>
    <w:p w:rsidR="00386712" w:rsidRPr="00BA1194" w:rsidRDefault="00475792" w:rsidP="004757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BA1194">
        <w:rPr>
          <w:rFonts w:ascii="Times New Roman" w:eastAsiaTheme="minorHAnsi" w:hAnsi="Times New Roman"/>
          <w:sz w:val="26"/>
          <w:szCs w:val="26"/>
        </w:rPr>
        <w:t>Настоящее Решение вступает в силу со дня принятия и распространяет свое действие на отношения, возникшие с 01.02.2023.</w:t>
      </w:r>
    </w:p>
    <w:p w:rsidR="00386712" w:rsidRDefault="00475792" w:rsidP="00475792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F3BA6" w:rsidRPr="00445845" w:rsidRDefault="002F3BA6" w:rsidP="0038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712" w:rsidRPr="00445845" w:rsidRDefault="00386712" w:rsidP="0038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5845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386712" w:rsidRPr="00445845" w:rsidRDefault="00386712" w:rsidP="0038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5845">
        <w:rPr>
          <w:rFonts w:ascii="Times New Roman" w:hAnsi="Times New Roman" w:cs="Times New Roman"/>
          <w:b/>
          <w:sz w:val="26"/>
          <w:szCs w:val="26"/>
        </w:rPr>
        <w:t>городское поселение «Город Малоярославец»</w:t>
      </w:r>
      <w:r w:rsidRPr="00445845">
        <w:rPr>
          <w:rFonts w:ascii="Times New Roman" w:hAnsi="Times New Roman" w:cs="Times New Roman"/>
          <w:b/>
          <w:sz w:val="26"/>
          <w:szCs w:val="26"/>
        </w:rPr>
        <w:tab/>
      </w:r>
      <w:r w:rsidRPr="00445845">
        <w:rPr>
          <w:rFonts w:ascii="Times New Roman" w:hAnsi="Times New Roman" w:cs="Times New Roman"/>
          <w:b/>
          <w:sz w:val="26"/>
          <w:szCs w:val="26"/>
        </w:rPr>
        <w:tab/>
      </w:r>
      <w:r w:rsidRPr="00445845">
        <w:rPr>
          <w:rFonts w:ascii="Times New Roman" w:hAnsi="Times New Roman" w:cs="Times New Roman"/>
          <w:b/>
          <w:sz w:val="26"/>
          <w:szCs w:val="26"/>
        </w:rPr>
        <w:tab/>
      </w:r>
      <w:r w:rsidR="002F3BA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45845">
        <w:rPr>
          <w:rFonts w:ascii="Times New Roman" w:hAnsi="Times New Roman" w:cs="Times New Roman"/>
          <w:b/>
          <w:sz w:val="26"/>
          <w:szCs w:val="26"/>
        </w:rPr>
        <w:t>И.С. Олефиренко</w:t>
      </w:r>
    </w:p>
    <w:p w:rsidR="00386712" w:rsidRDefault="00386712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386712" w:rsidRDefault="00386712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386712" w:rsidRDefault="00386712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1748A3" w:rsidRDefault="001748A3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2F3BA6" w:rsidRDefault="002F3BA6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ED5249" w:rsidRDefault="00ED5249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140040" w:rsidRDefault="00140040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722CA0" w:rsidRPr="00386712" w:rsidRDefault="00722CA0" w:rsidP="00722CA0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sz w:val="20"/>
          <w:szCs w:val="20"/>
        </w:rPr>
        <w:lastRenderedPageBreak/>
        <w:tab/>
      </w:r>
      <w:r w:rsidR="00CC78AA">
        <w:rPr>
          <w:b/>
          <w:sz w:val="26"/>
          <w:szCs w:val="26"/>
        </w:rPr>
        <w:t>Приложение №</w:t>
      </w:r>
      <w:r w:rsidRPr="00386712">
        <w:rPr>
          <w:b/>
          <w:sz w:val="26"/>
          <w:szCs w:val="26"/>
        </w:rPr>
        <w:t>1</w:t>
      </w:r>
    </w:p>
    <w:p w:rsidR="00722CA0" w:rsidRPr="00386712" w:rsidRDefault="00722CA0" w:rsidP="00722CA0">
      <w:pPr>
        <w:pStyle w:val="Style21"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к </w:t>
      </w:r>
      <w:r w:rsidR="00386712">
        <w:rPr>
          <w:b/>
          <w:sz w:val="26"/>
          <w:szCs w:val="26"/>
        </w:rPr>
        <w:t>Р</w:t>
      </w:r>
      <w:r w:rsidRPr="00386712">
        <w:rPr>
          <w:b/>
          <w:sz w:val="26"/>
          <w:szCs w:val="26"/>
        </w:rPr>
        <w:t xml:space="preserve">ешению </w:t>
      </w:r>
      <w:r w:rsidR="00386712">
        <w:rPr>
          <w:b/>
          <w:sz w:val="26"/>
          <w:szCs w:val="26"/>
        </w:rPr>
        <w:t>г</w:t>
      </w:r>
      <w:r w:rsidRPr="00386712">
        <w:rPr>
          <w:b/>
          <w:sz w:val="26"/>
          <w:szCs w:val="26"/>
        </w:rPr>
        <w:t>ородской Думы</w:t>
      </w:r>
    </w:p>
    <w:p w:rsidR="00722CA0" w:rsidRPr="00386712" w:rsidRDefault="00386712" w:rsidP="00722CA0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 «Город Малоярославец»</w:t>
      </w:r>
    </w:p>
    <w:p w:rsidR="00722CA0" w:rsidRPr="00386712" w:rsidRDefault="00006E09" w:rsidP="00722CA0">
      <w:pPr>
        <w:pStyle w:val="Style21"/>
        <w:widowControl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от </w:t>
      </w:r>
      <w:r w:rsidR="00386712">
        <w:rPr>
          <w:b/>
          <w:sz w:val="26"/>
          <w:szCs w:val="26"/>
        </w:rPr>
        <w:t>«</w:t>
      </w:r>
      <w:r w:rsidR="00742E7D">
        <w:rPr>
          <w:b/>
          <w:sz w:val="26"/>
          <w:szCs w:val="26"/>
        </w:rPr>
        <w:t>30</w:t>
      </w:r>
      <w:r w:rsidR="00386712">
        <w:rPr>
          <w:b/>
          <w:sz w:val="26"/>
          <w:szCs w:val="26"/>
        </w:rPr>
        <w:t xml:space="preserve">» марта </w:t>
      </w:r>
      <w:r w:rsidRPr="00386712">
        <w:rPr>
          <w:b/>
          <w:sz w:val="26"/>
          <w:szCs w:val="26"/>
        </w:rPr>
        <w:t>2023</w:t>
      </w:r>
      <w:r w:rsidR="00722CA0" w:rsidRPr="00386712">
        <w:rPr>
          <w:b/>
          <w:sz w:val="26"/>
          <w:szCs w:val="26"/>
        </w:rPr>
        <w:t xml:space="preserve"> г. </w:t>
      </w:r>
      <w:r w:rsidR="00E35544">
        <w:rPr>
          <w:b/>
          <w:sz w:val="26"/>
          <w:szCs w:val="26"/>
        </w:rPr>
        <w:t>№ 261</w:t>
      </w:r>
    </w:p>
    <w:p w:rsidR="00722CA0" w:rsidRPr="00386712" w:rsidRDefault="00722CA0" w:rsidP="0082153C">
      <w:pPr>
        <w:pStyle w:val="Style21"/>
        <w:widowControl/>
        <w:jc w:val="left"/>
        <w:rPr>
          <w:sz w:val="26"/>
          <w:szCs w:val="26"/>
        </w:rPr>
      </w:pPr>
    </w:p>
    <w:p w:rsidR="002F01D9" w:rsidRPr="00445845" w:rsidRDefault="002F01D9" w:rsidP="002F01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Тарифы на </w:t>
      </w:r>
      <w:r w:rsidRPr="00445845">
        <w:rPr>
          <w:rFonts w:ascii="Times New Roman" w:hAnsi="Times New Roman" w:cs="Times New Roman"/>
          <w:b/>
          <w:sz w:val="26"/>
          <w:szCs w:val="26"/>
        </w:rPr>
        <w:t>услуг</w:t>
      </w:r>
      <w:r>
        <w:rPr>
          <w:rFonts w:ascii="Times New Roman" w:hAnsi="Times New Roman" w:cs="Times New Roman"/>
          <w:b/>
          <w:sz w:val="26"/>
          <w:szCs w:val="26"/>
        </w:rPr>
        <w:t>и, предоставляемые УМП</w:t>
      </w:r>
      <w:r w:rsidRPr="0044584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445845">
        <w:rPr>
          <w:rFonts w:ascii="Times New Roman" w:hAnsi="Times New Roman" w:cs="Times New Roman"/>
          <w:b/>
          <w:sz w:val="26"/>
          <w:szCs w:val="26"/>
        </w:rPr>
        <w:t>Водоканал»</w:t>
      </w:r>
    </w:p>
    <w:p w:rsidR="00B6260B" w:rsidRDefault="002F01D9" w:rsidP="002F01D9">
      <w:pPr>
        <w:shd w:val="clear" w:color="auto" w:fill="FFFFFF"/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юридическим</w:t>
      </w:r>
      <w:r w:rsidR="00484852" w:rsidRPr="00445845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ам и индивидуальным </w:t>
      </w:r>
      <w:r w:rsidR="00484852" w:rsidRPr="00445845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предпринимател</w:t>
      </w: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ям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3"/>
        <w:gridCol w:w="3322"/>
      </w:tblGrid>
      <w:tr w:rsidR="00B9020B" w:rsidRPr="00A64721" w:rsidTr="00A64721">
        <w:trPr>
          <w:trHeight w:val="1176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20B" w:rsidRPr="00A64721" w:rsidRDefault="00B9020B" w:rsidP="00B6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6472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020B" w:rsidRPr="00A64721" w:rsidRDefault="00B9020B" w:rsidP="00B9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6472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Стоимость услуг, оказываемых УМП « Водоканал», руб.</w:t>
            </w:r>
          </w:p>
          <w:p w:rsidR="00B9020B" w:rsidRPr="00A64721" w:rsidRDefault="00B9020B" w:rsidP="00B9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6472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(с  НДС)</w:t>
            </w:r>
          </w:p>
        </w:tc>
      </w:tr>
      <w:tr w:rsidR="00B9020B" w:rsidRPr="00A64721" w:rsidTr="00A64721">
        <w:trPr>
          <w:trHeight w:val="527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20B" w:rsidRPr="00A64721" w:rsidRDefault="00E06EE0" w:rsidP="00445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20B" w:rsidRPr="00A64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4273" w:rsidRPr="00A64721"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с последующим включением в водопроводную сеть 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020B" w:rsidRPr="00A64721" w:rsidRDefault="003F4273" w:rsidP="00E0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B9020B" w:rsidRPr="00A64721" w:rsidTr="00A64721">
        <w:trPr>
          <w:trHeight w:val="271"/>
        </w:trPr>
        <w:tc>
          <w:tcPr>
            <w:tcW w:w="33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020B" w:rsidRPr="00A64721" w:rsidRDefault="00E06EE0" w:rsidP="00445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F4273" w:rsidRPr="00A64721">
              <w:rPr>
                <w:rFonts w:ascii="Times New Roman" w:hAnsi="Times New Roman" w:cs="Times New Roman"/>
                <w:sz w:val="24"/>
                <w:szCs w:val="24"/>
              </w:rPr>
              <w:t xml:space="preserve"> Отключение с последующим включением в водопроводную сеть при необходимости остановки магистрального водопровода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020B" w:rsidRPr="00A64721" w:rsidRDefault="003F4273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</w:tr>
      <w:tr w:rsidR="00B9020B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020B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2</w:t>
            </w:r>
            <w:r w:rsidR="003F4273" w:rsidRPr="00A64721">
              <w:rPr>
                <w:rFonts w:ascii="Times New Roman" w:hAnsi="Times New Roman"/>
                <w:sz w:val="24"/>
                <w:szCs w:val="24"/>
              </w:rPr>
              <w:t>.  Отключение (или</w:t>
            </w:r>
            <w:r w:rsidR="00484852" w:rsidRPr="00A64721">
              <w:rPr>
                <w:rFonts w:ascii="Times New Roman" w:hAnsi="Times New Roman"/>
                <w:sz w:val="24"/>
                <w:szCs w:val="24"/>
              </w:rPr>
              <w:t xml:space="preserve"> включение) в водопроводную сеть 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020B" w:rsidRPr="00A64721" w:rsidRDefault="00484852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2</w:t>
            </w:r>
            <w:r w:rsidR="00484852" w:rsidRPr="00A64721">
              <w:rPr>
                <w:rFonts w:ascii="Times New Roman" w:hAnsi="Times New Roman"/>
                <w:sz w:val="24"/>
                <w:szCs w:val="24"/>
              </w:rPr>
              <w:t>.1.</w:t>
            </w:r>
            <w:r w:rsidR="00484852" w:rsidRPr="00A64721">
              <w:rPr>
                <w:rFonts w:ascii="Times New Roman" w:hAnsi="Times New Roman" w:cs="Times New Roman"/>
                <w:sz w:val="24"/>
                <w:szCs w:val="24"/>
              </w:rPr>
              <w:t xml:space="preserve"> Отключение (или включение) в водопроводную сеть при необходимости остановки магистрального водопровода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484852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4.Согл</w:t>
            </w:r>
            <w:r w:rsidR="00445845" w:rsidRPr="00A64721">
              <w:rPr>
                <w:rFonts w:ascii="Times New Roman" w:hAnsi="Times New Roman"/>
                <w:sz w:val="24"/>
                <w:szCs w:val="24"/>
              </w:rPr>
              <w:t xml:space="preserve">асование проектов, </w:t>
            </w:r>
            <w:proofErr w:type="spellStart"/>
            <w:r w:rsidR="00445845" w:rsidRPr="00A64721">
              <w:rPr>
                <w:rFonts w:ascii="Times New Roman" w:hAnsi="Times New Roman"/>
                <w:sz w:val="24"/>
                <w:szCs w:val="24"/>
              </w:rPr>
              <w:t>топосъемок</w:t>
            </w:r>
            <w:proofErr w:type="spellEnd"/>
            <w:r w:rsidR="00445845" w:rsidRPr="00A647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64721">
              <w:rPr>
                <w:rFonts w:ascii="Times New Roman" w:hAnsi="Times New Roman"/>
                <w:sz w:val="24"/>
                <w:szCs w:val="24"/>
              </w:rPr>
              <w:t>с выездом специалиста):</w:t>
            </w:r>
          </w:p>
          <w:p w:rsidR="00E06EE0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-уличные и микрорайонные водоводы и канализационные коллекторы</w:t>
            </w:r>
          </w:p>
          <w:p w:rsidR="00E06EE0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 дворовые и внутридомовые водоводы и канализационные коллекторы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4721" w:rsidRPr="00A64721" w:rsidRDefault="00A64721" w:rsidP="00A64721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E0" w:rsidRPr="00A64721" w:rsidRDefault="00E06EE0" w:rsidP="00A64721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A64721" w:rsidRDefault="00A64721" w:rsidP="00A64721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E0" w:rsidRPr="00A64721" w:rsidRDefault="00E06EE0" w:rsidP="00A64721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484852" w:rsidRPr="00A64721" w:rsidTr="00A64721">
        <w:trPr>
          <w:trHeight w:val="1430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5. Составление балансовой таблицы водоснабжения и (или) водоотведения:</w:t>
            </w:r>
          </w:p>
          <w:p w:rsidR="00E06EE0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с потреблением до 300 куб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  <w:p w:rsidR="00E06EE0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с потреблением до 1000 куб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  <w:p w:rsidR="00E06EE0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с потреблением от 1001 до 10 000 куб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4721" w:rsidRPr="00A64721" w:rsidRDefault="00A64721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21" w:rsidRPr="00A64721" w:rsidRDefault="00A64721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E0" w:rsidRPr="00A64721" w:rsidRDefault="00E06EE0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E06EE0" w:rsidRPr="00A64721" w:rsidRDefault="00E06EE0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  <w:p w:rsidR="00E06EE0" w:rsidRPr="00A64721" w:rsidRDefault="00E06EE0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E06E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56522A" w:rsidRPr="00A64721">
              <w:rPr>
                <w:rFonts w:ascii="Times New Roman" w:hAnsi="Times New Roman"/>
                <w:sz w:val="24"/>
                <w:szCs w:val="24"/>
              </w:rPr>
              <w:t>Выезд контролера для проведения мероприятий по пломбировке прибора учета холодной воды (при нарушении пломбы абонентами или третьими лицами)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56522A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BF2B1F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7. Выезд специалиста для технического освидетельствования узла учета </w:t>
            </w:r>
            <w:r w:rsidR="00DB6A07" w:rsidRPr="00A64721">
              <w:rPr>
                <w:rFonts w:ascii="Times New Roman" w:hAnsi="Times New Roman"/>
                <w:sz w:val="24"/>
                <w:szCs w:val="24"/>
              </w:rPr>
              <w:t xml:space="preserve"> холодной </w:t>
            </w:r>
            <w:r w:rsidRPr="00A64721">
              <w:rPr>
                <w:rFonts w:ascii="Times New Roman" w:hAnsi="Times New Roman"/>
                <w:sz w:val="24"/>
                <w:szCs w:val="24"/>
              </w:rPr>
              <w:t>воды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DB6A07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56522A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8. Гидродинамическая промывка канализационных труб:</w:t>
            </w:r>
          </w:p>
          <w:p w:rsidR="0056522A" w:rsidRPr="00A64721" w:rsidRDefault="0056522A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 диаметр труб от 100 до 150 мм, протяженность до 10 метров</w:t>
            </w:r>
          </w:p>
          <w:p w:rsidR="0056522A" w:rsidRPr="00A64721" w:rsidRDefault="0056522A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 диаметр труб от 151 до 200 мм, протяженность до 10 метров</w:t>
            </w:r>
          </w:p>
          <w:p w:rsidR="0056522A" w:rsidRPr="00A64721" w:rsidRDefault="00BF2B1F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Гидродинамическая промывка канализационных труб протяженностью свыше 10 метров определяется 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индивидуального расчета УМП « Водоканал» самостоятельно.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484852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2A" w:rsidRPr="00A64721" w:rsidRDefault="0056522A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  <w:p w:rsidR="0056522A" w:rsidRPr="00A64721" w:rsidRDefault="0056522A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DB6A07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9. Транспортные услуги специальной техник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вакуумной машины за 1 час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DB6A07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84852" w:rsidRPr="00A64721" w:rsidTr="00A64721">
        <w:trPr>
          <w:trHeight w:val="271"/>
        </w:trPr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DB6A07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10. Подготовка и обработка смешанных фракций сточных вод, доставляемых  от </w:t>
            </w:r>
            <w:proofErr w:type="spellStart"/>
            <w:r w:rsidRPr="00A64721">
              <w:rPr>
                <w:rFonts w:ascii="Times New Roman" w:hAnsi="Times New Roman"/>
                <w:sz w:val="24"/>
                <w:szCs w:val="24"/>
              </w:rPr>
              <w:t>неканализованных</w:t>
            </w:r>
            <w:proofErr w:type="spell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  <w:r w:rsidR="006268EE" w:rsidRPr="00A64721">
              <w:rPr>
                <w:rFonts w:ascii="Times New Roman" w:hAnsi="Times New Roman"/>
                <w:sz w:val="24"/>
                <w:szCs w:val="24"/>
              </w:rPr>
              <w:t xml:space="preserve"> частного сектора (населения)</w:t>
            </w:r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ассенизаторским транспортом</w:t>
            </w:r>
            <w:r w:rsidR="0063791E" w:rsidRPr="00A64721">
              <w:rPr>
                <w:rFonts w:ascii="Times New Roman" w:hAnsi="Times New Roman"/>
                <w:sz w:val="24"/>
                <w:szCs w:val="24"/>
              </w:rPr>
              <w:t xml:space="preserve"> за 1 куб. </w:t>
            </w:r>
            <w:r w:rsidR="00C00700" w:rsidRPr="00A64721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4852" w:rsidRPr="00A64721" w:rsidRDefault="00FA337B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21,71</w:t>
            </w:r>
          </w:p>
        </w:tc>
      </w:tr>
    </w:tbl>
    <w:p w:rsidR="00275DD2" w:rsidRPr="00386712" w:rsidRDefault="00275DD2" w:rsidP="00275DD2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№2</w:t>
      </w:r>
    </w:p>
    <w:p w:rsidR="00275DD2" w:rsidRPr="00386712" w:rsidRDefault="00275DD2" w:rsidP="00275DD2">
      <w:pPr>
        <w:pStyle w:val="Style21"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>Р</w:t>
      </w:r>
      <w:r w:rsidRPr="00386712">
        <w:rPr>
          <w:b/>
          <w:sz w:val="26"/>
          <w:szCs w:val="26"/>
        </w:rPr>
        <w:t xml:space="preserve">ешению </w:t>
      </w:r>
      <w:r>
        <w:rPr>
          <w:b/>
          <w:sz w:val="26"/>
          <w:szCs w:val="26"/>
        </w:rPr>
        <w:t>г</w:t>
      </w:r>
      <w:r w:rsidRPr="00386712">
        <w:rPr>
          <w:b/>
          <w:sz w:val="26"/>
          <w:szCs w:val="26"/>
        </w:rPr>
        <w:t>ородской Думы</w:t>
      </w:r>
    </w:p>
    <w:p w:rsidR="00275DD2" w:rsidRPr="00386712" w:rsidRDefault="00275DD2" w:rsidP="00275DD2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 «Город Малоярославец»</w:t>
      </w:r>
    </w:p>
    <w:p w:rsidR="00275DD2" w:rsidRPr="00386712" w:rsidRDefault="00275DD2" w:rsidP="00275DD2">
      <w:pPr>
        <w:pStyle w:val="Style21"/>
        <w:widowControl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«30» марта </w:t>
      </w:r>
      <w:r w:rsidRPr="00386712">
        <w:rPr>
          <w:b/>
          <w:sz w:val="26"/>
          <w:szCs w:val="26"/>
        </w:rPr>
        <w:t xml:space="preserve">2023 г. </w:t>
      </w:r>
      <w:r>
        <w:rPr>
          <w:b/>
          <w:sz w:val="26"/>
          <w:szCs w:val="26"/>
        </w:rPr>
        <w:t>№</w:t>
      </w:r>
      <w:r w:rsidR="00E35544">
        <w:rPr>
          <w:b/>
          <w:sz w:val="26"/>
          <w:szCs w:val="26"/>
        </w:rPr>
        <w:t>261</w:t>
      </w:r>
    </w:p>
    <w:p w:rsidR="003879FF" w:rsidRDefault="003879FF" w:rsidP="00A2233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233D" w:rsidRPr="00445845" w:rsidRDefault="00A2233D" w:rsidP="00A2233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Тарифы на </w:t>
      </w:r>
      <w:r w:rsidRPr="00445845">
        <w:rPr>
          <w:rFonts w:ascii="Times New Roman" w:hAnsi="Times New Roman" w:cs="Times New Roman"/>
          <w:b/>
          <w:sz w:val="26"/>
          <w:szCs w:val="26"/>
        </w:rPr>
        <w:t>услуг</w:t>
      </w:r>
      <w:r>
        <w:rPr>
          <w:rFonts w:ascii="Times New Roman" w:hAnsi="Times New Roman" w:cs="Times New Roman"/>
          <w:b/>
          <w:sz w:val="26"/>
          <w:szCs w:val="26"/>
        </w:rPr>
        <w:t>и, предоставляемые УМП</w:t>
      </w:r>
      <w:r w:rsidRPr="0044584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445845">
        <w:rPr>
          <w:rFonts w:ascii="Times New Roman" w:hAnsi="Times New Roman" w:cs="Times New Roman"/>
          <w:b/>
          <w:sz w:val="26"/>
          <w:szCs w:val="26"/>
        </w:rPr>
        <w:t>Водоканал»</w:t>
      </w:r>
    </w:p>
    <w:p w:rsidR="00275DD2" w:rsidRPr="004F4C3C" w:rsidRDefault="00A2233D" w:rsidP="004F4C3C">
      <w:pPr>
        <w:shd w:val="clear" w:color="auto" w:fill="FFFFFF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Физическим </w:t>
      </w:r>
      <w:r w:rsidR="00275DD2" w:rsidRPr="004F4C3C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лиц</w:t>
      </w: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ам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2"/>
        <w:gridCol w:w="3113"/>
      </w:tblGrid>
      <w:tr w:rsidR="00275DD2" w:rsidRPr="00A64721" w:rsidTr="00A64721">
        <w:trPr>
          <w:trHeight w:val="1176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6472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6472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Стоимость услуг, оказываемых УМП «Водоканал», руб.</w:t>
            </w:r>
          </w:p>
          <w:p w:rsidR="00275DD2" w:rsidRPr="00A64721" w:rsidRDefault="00275DD2" w:rsidP="00A6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6472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(с НДС)</w:t>
            </w:r>
          </w:p>
        </w:tc>
      </w:tr>
      <w:tr w:rsidR="00275DD2" w:rsidRPr="00A64721" w:rsidTr="00A64721">
        <w:trPr>
          <w:trHeight w:val="527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 xml:space="preserve">1. Отключение с последующим включением в водопроводную сеть 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1.2. Отключение с последующим включением в водопроводную сеть при необходимости остановки магистрального водопровода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2.  Отключение (или включение) в водопроводную сеть 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2.1.</w:t>
            </w: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 xml:space="preserve"> Отключение (или включение) в водопроводную сеть при необходимости остановки магистрального водопровода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4.Согласование проектов, </w:t>
            </w:r>
            <w:proofErr w:type="spellStart"/>
            <w:r w:rsidRPr="00A64721">
              <w:rPr>
                <w:rFonts w:ascii="Times New Roman" w:hAnsi="Times New Roman"/>
                <w:sz w:val="24"/>
                <w:szCs w:val="24"/>
              </w:rPr>
              <w:t>топосъемок</w:t>
            </w:r>
            <w:proofErr w:type="spell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>с выездом специалиста):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ab/>
              <w:t>700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5. Составление балансовой таблицы водоснабжения и (или) водоотведения:</w:t>
            </w:r>
          </w:p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с потреблением до 300 куб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21" w:rsidRPr="00A64721" w:rsidRDefault="00A64721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DD2" w:rsidRPr="00A64721" w:rsidRDefault="00275DD2" w:rsidP="00A64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6. Выезд контролера для проведения мероприятий по пломбировке прибора учета холодной воды (при нарушении пломбы абонентами или третьими лицами)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7. Выезд специалиста для технического освидетельствования узла учета  холодной воды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8. Установка узла учета ХВС</w:t>
            </w:r>
            <w:proofErr w:type="gramStart"/>
            <w:r w:rsidRPr="00A6472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 материалом Заказчика</w:t>
            </w:r>
          </w:p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 с материалом УМП « Водоканал»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9. Замена прибора учета холодной воды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10.</w:t>
            </w:r>
            <w:r w:rsidR="00A311E0" w:rsidRPr="00A64721">
              <w:rPr>
                <w:rFonts w:ascii="Times New Roman" w:hAnsi="Times New Roman"/>
                <w:sz w:val="24"/>
                <w:szCs w:val="24"/>
              </w:rPr>
              <w:t>Откачка и вывоз стоков спецмашинами (в черте города) за 1 рейс автомашины</w:t>
            </w:r>
            <w:r w:rsidR="006268EE" w:rsidRPr="00A64721">
              <w:rPr>
                <w:rFonts w:ascii="Times New Roman" w:hAnsi="Times New Roman"/>
                <w:sz w:val="24"/>
                <w:szCs w:val="24"/>
              </w:rPr>
              <w:t xml:space="preserve"> объемом 3,75 куб. метров.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10.1 Откачка и вывоз стоков спецмашинами (в черте города) за 1 рейс автомашины</w:t>
            </w:r>
            <w:r w:rsidR="006268EE" w:rsidRPr="00A64721">
              <w:rPr>
                <w:rFonts w:ascii="Times New Roman" w:hAnsi="Times New Roman"/>
                <w:sz w:val="24"/>
                <w:szCs w:val="24"/>
              </w:rPr>
              <w:t xml:space="preserve"> объемом 3,75 куб. метров </w:t>
            </w:r>
            <w:r w:rsidRPr="00A64721">
              <w:rPr>
                <w:rFonts w:ascii="Times New Roman" w:hAnsi="Times New Roman"/>
                <w:sz w:val="24"/>
                <w:szCs w:val="24"/>
              </w:rPr>
              <w:t xml:space="preserve"> при наращивании шлангов (расстояние до места откачки свыше 6-ти м)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268EE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8EE" w:rsidRPr="00A64721" w:rsidRDefault="006268EE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10.2. Откачка и вывоз стоков спецмашинами (в черте города) за 1 рейс автомашины объемом 5 куб. метров.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8EE" w:rsidRPr="00A64721" w:rsidRDefault="006268EE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6268EE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8EE" w:rsidRPr="00A64721" w:rsidRDefault="006268EE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10.3. Откачка и вывоз стоков спецмашинами (в черте города) за 1 рейс автомашины объемом 5 куб. метров  при наращивании шлангов (расстояние до места откачки свыше 6-ти м)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8EE" w:rsidRPr="00A64721" w:rsidRDefault="006268EE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11.Устранение засора канализационной сети (с промывкой до 30 м):</w:t>
            </w:r>
          </w:p>
          <w:p w:rsidR="00A311E0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-диаметр канализационной сети 100 мм</w:t>
            </w:r>
          </w:p>
          <w:p w:rsidR="00A311E0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-диаметр канализационной сети 160 мм</w:t>
            </w:r>
          </w:p>
          <w:p w:rsidR="00A311E0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lastRenderedPageBreak/>
              <w:t>-диаметр канализационной сети 200 мм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0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:rsidR="00A311E0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6050</w:t>
            </w:r>
          </w:p>
          <w:p w:rsidR="00A311E0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7700</w:t>
            </w:r>
          </w:p>
        </w:tc>
      </w:tr>
      <w:tr w:rsidR="00275DD2" w:rsidRPr="00A64721" w:rsidTr="00A64721">
        <w:trPr>
          <w:trHeight w:val="271"/>
        </w:trPr>
        <w:tc>
          <w:tcPr>
            <w:tcW w:w="3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lastRenderedPageBreak/>
              <w:t>12. Исполнение проектной документации:</w:t>
            </w:r>
          </w:p>
          <w:p w:rsidR="00A311E0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 xml:space="preserve">-сети водоснабжения </w:t>
            </w:r>
          </w:p>
          <w:p w:rsidR="00A311E0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-сети водоотведения</w:t>
            </w:r>
          </w:p>
          <w:p w:rsidR="00A311E0" w:rsidRPr="00A64721" w:rsidRDefault="00A311E0" w:rsidP="004458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721">
              <w:rPr>
                <w:rFonts w:ascii="Times New Roman" w:hAnsi="Times New Roman"/>
                <w:sz w:val="24"/>
                <w:szCs w:val="24"/>
              </w:rPr>
              <w:t>- сети водоснабжения и водоотведения, исполненные в одном проекте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5DD2" w:rsidRPr="00A64721" w:rsidRDefault="00275DD2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0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:rsidR="00A311E0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:rsidR="00A311E0" w:rsidRPr="00A64721" w:rsidRDefault="00A311E0" w:rsidP="00445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21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</w:tbl>
    <w:p w:rsidR="00275DD2" w:rsidRDefault="00275DD2" w:rsidP="00275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DD2" w:rsidRDefault="00275DD2" w:rsidP="00275DD2">
      <w:pPr>
        <w:ind w:left="-426" w:right="141"/>
      </w:pPr>
    </w:p>
    <w:p w:rsidR="00275DD2" w:rsidRDefault="00275DD2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6268EE" w:rsidRDefault="006268EE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445845" w:rsidRDefault="00445845" w:rsidP="00C53B29">
      <w:pPr>
        <w:ind w:left="-426" w:right="141"/>
      </w:pPr>
    </w:p>
    <w:p w:rsidR="006268EE" w:rsidRPr="00386712" w:rsidRDefault="006268EE" w:rsidP="00445845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lastRenderedPageBreak/>
        <w:tab/>
      </w:r>
      <w:r>
        <w:rPr>
          <w:b/>
          <w:sz w:val="26"/>
          <w:szCs w:val="26"/>
        </w:rPr>
        <w:t>Приложение №3</w:t>
      </w:r>
    </w:p>
    <w:p w:rsidR="006268EE" w:rsidRPr="00386712" w:rsidRDefault="006268EE" w:rsidP="006268EE">
      <w:pPr>
        <w:pStyle w:val="Style21"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>Р</w:t>
      </w:r>
      <w:r w:rsidRPr="00386712">
        <w:rPr>
          <w:b/>
          <w:sz w:val="26"/>
          <w:szCs w:val="26"/>
        </w:rPr>
        <w:t xml:space="preserve">ешению </w:t>
      </w:r>
      <w:r>
        <w:rPr>
          <w:b/>
          <w:sz w:val="26"/>
          <w:szCs w:val="26"/>
        </w:rPr>
        <w:t>г</w:t>
      </w:r>
      <w:r w:rsidRPr="00386712">
        <w:rPr>
          <w:b/>
          <w:sz w:val="26"/>
          <w:szCs w:val="26"/>
        </w:rPr>
        <w:t>ородской Думы</w:t>
      </w:r>
    </w:p>
    <w:p w:rsidR="006268EE" w:rsidRPr="00386712" w:rsidRDefault="006268EE" w:rsidP="006268EE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 «Город Малоярославец»</w:t>
      </w:r>
    </w:p>
    <w:p w:rsidR="006268EE" w:rsidRPr="00386712" w:rsidRDefault="006268EE" w:rsidP="006268EE">
      <w:pPr>
        <w:pStyle w:val="Style21"/>
        <w:widowControl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«30» марта </w:t>
      </w:r>
      <w:r w:rsidRPr="00386712">
        <w:rPr>
          <w:b/>
          <w:sz w:val="26"/>
          <w:szCs w:val="26"/>
        </w:rPr>
        <w:t xml:space="preserve">2023 г. </w:t>
      </w:r>
      <w:r w:rsidR="00E35544">
        <w:rPr>
          <w:b/>
          <w:sz w:val="26"/>
          <w:szCs w:val="26"/>
        </w:rPr>
        <w:t>№ 261</w:t>
      </w:r>
    </w:p>
    <w:p w:rsidR="00445845" w:rsidRDefault="00445845" w:rsidP="002A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2A54B2" w:rsidRPr="00445845" w:rsidRDefault="00C81E1E" w:rsidP="00C81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Тарифы </w:t>
      </w:r>
      <w:r w:rsidR="002A54B2" w:rsidRPr="0044584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услуги</w:t>
      </w:r>
    </w:p>
    <w:p w:rsidR="00445845" w:rsidRDefault="002A54B2" w:rsidP="002A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Химико-бактериологической испытательной лаборатории контроля вод (ХБИЛКВ)</w:t>
      </w:r>
      <w:r w:rsidR="00C81E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УМП </w:t>
      </w:r>
      <w:r w:rsidRPr="0044584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«Водоканал» г. Малоярославец</w:t>
      </w:r>
    </w:p>
    <w:p w:rsidR="00C81E1E" w:rsidRDefault="00C81E1E" w:rsidP="002A54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2A54B2" w:rsidRPr="00C81E1E" w:rsidRDefault="00C81E1E" w:rsidP="00C81E1E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Тарифы на </w:t>
      </w:r>
      <w:r w:rsidR="002A54B2" w:rsidRPr="00C81E1E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лабораторны</w:t>
      </w:r>
      <w:r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е</w:t>
      </w:r>
      <w:r w:rsidR="002A54B2" w:rsidRPr="00C81E1E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анализ</w:t>
      </w:r>
      <w:r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ы</w:t>
      </w:r>
      <w:r w:rsidR="002A54B2" w:rsidRPr="00C81E1E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воды питьевой, воды подземных источников для юридических лиц и индивидуальных предпринимателей</w:t>
      </w:r>
      <w:r w:rsidR="002A54B2" w:rsidRPr="00C81E1E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8"/>
        <w:gridCol w:w="6336"/>
        <w:gridCol w:w="3258"/>
      </w:tblGrid>
      <w:tr w:rsidR="00A64721" w:rsidRPr="00445845" w:rsidTr="00A64721">
        <w:trPr>
          <w:trHeight w:val="300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proofErr w:type="gramEnd"/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0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Определяемый показатель</w:t>
            </w:r>
          </w:p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Цена анализа, руб. </w:t>
            </w:r>
          </w:p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 учетом НДС 20 %</w:t>
            </w:r>
          </w:p>
        </w:tc>
      </w:tr>
      <w:tr w:rsidR="00A64721" w:rsidRPr="00445845" w:rsidTr="00A64721">
        <w:trPr>
          <w:trHeight w:val="3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Физико-химические показатели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Вкус/Привкус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110,97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0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Запах при 20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°С</w:t>
            </w:r>
            <w:proofErr w:type="gramEnd"/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110,97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Цветность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165,46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Мутность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182,01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Водородный показатель, рН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212,78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Жесткость 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356,93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нефтепродуктов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1065,09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Окисляемостьперманганатная</w:t>
            </w:r>
            <w:proofErr w:type="spellEnd"/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439,64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Сухой остаток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396,74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Аммиак и ионы аммония (суммарно)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479,45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общего железа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595,06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кальция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357,84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Марганец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672,27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Нитрат-ион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427,86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Нитрит-ион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465,49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Остаточный активный хлор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306,46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Сульфат-ион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443,47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фторидов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513,71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Хлорид-ион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364,25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Щелочность общая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295,72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64721" w:rsidRPr="00445845" w:rsidTr="00A647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Микробиологические показатели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Общее микробное число при 37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°С</w:t>
            </w:r>
            <w:proofErr w:type="gramEnd"/>
          </w:p>
        </w:tc>
        <w:tc>
          <w:tcPr>
            <w:tcW w:w="1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400,44</w:t>
            </w:r>
          </w:p>
        </w:tc>
      </w:tr>
      <w:tr w:rsidR="00A64721" w:rsidRPr="00445845" w:rsidTr="00A64721">
        <w:trPr>
          <w:trHeight w:val="80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04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Общие </w:t>
            </w:r>
            <w:proofErr w:type="spell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колиформные</w:t>
            </w:r>
            <w:proofErr w:type="spellEnd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бактерии</w:t>
            </w:r>
          </w:p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Термотолерантныеколиформные</w:t>
            </w:r>
            <w:proofErr w:type="spellEnd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бактерии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1578,72</w:t>
            </w:r>
          </w:p>
        </w:tc>
      </w:tr>
      <w:tr w:rsidR="00A64721" w:rsidRPr="00445845" w:rsidTr="00A6472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Отбор проб</w:t>
            </w:r>
          </w:p>
        </w:tc>
      </w:tr>
      <w:tr w:rsidR="00A64721" w:rsidRPr="00445845" w:rsidTr="00A64721">
        <w:trPr>
          <w:trHeight w:val="300"/>
        </w:trPr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Отбор проб транспорт Заказчика</w:t>
            </w: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255,57</w:t>
            </w:r>
          </w:p>
        </w:tc>
      </w:tr>
      <w:tr w:rsidR="00A64721" w:rsidRPr="00445845" w:rsidTr="00A64721">
        <w:trPr>
          <w:trHeight w:val="300"/>
        </w:trPr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Отбор проб транспорт УМП «Водоканал»</w:t>
            </w: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941,97</w:t>
            </w:r>
          </w:p>
        </w:tc>
      </w:tr>
      <w:tr w:rsidR="00A64721" w:rsidRPr="00445845" w:rsidTr="00A64721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Оформление</w:t>
            </w:r>
          </w:p>
        </w:tc>
      </w:tr>
      <w:tr w:rsidR="00A64721" w:rsidRPr="00445845" w:rsidTr="00A64721">
        <w:trPr>
          <w:trHeight w:val="300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Оформление результатов 1 протокол</w:t>
            </w: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4721" w:rsidRPr="00445845" w:rsidRDefault="00A64721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286,04</w:t>
            </w:r>
          </w:p>
        </w:tc>
      </w:tr>
    </w:tbl>
    <w:p w:rsidR="002A54B2" w:rsidRPr="00445845" w:rsidRDefault="002A54B2" w:rsidP="002A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 xml:space="preserve"> 2. </w:t>
      </w:r>
      <w:r w:rsidR="00C34671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Тарифы</w:t>
      </w:r>
      <w:r w:rsidR="00C34671"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3467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на </w:t>
      </w: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лабораторны</w:t>
      </w:r>
      <w:r w:rsidR="00C3467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е анализы</w:t>
      </w: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воды сточной, воды очищенной сточной, воды природной поверхностной для юридических лиц и индивидуальных предпринимателей</w:t>
      </w: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42"/>
        <w:gridCol w:w="1199"/>
      </w:tblGrid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proofErr w:type="gramEnd"/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Определяемый показатель</w:t>
            </w:r>
          </w:p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Цена анализа, руб. </w:t>
            </w:r>
          </w:p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 учетом НДС 20 %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ионов аммония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384,38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общего хлора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306,46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Биохимическое потребление кислорода (</w:t>
            </w:r>
            <w:proofErr w:type="spell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БПКп</w:t>
            </w:r>
            <w:proofErr w:type="spellEnd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1864,72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взвешенных веществ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432,43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Водородный показатель, рН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212,78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общего железа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672,27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ионов меди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872,87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никеля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636,41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нитрат-ионов</w:t>
            </w:r>
            <w:proofErr w:type="gramEnd"/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443,47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нитрит-ионов</w:t>
            </w:r>
            <w:proofErr w:type="gramEnd"/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465,50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 нефтепродуктов 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1065,09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Анионных поверхностно-активных веществ (АПАВ)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594,42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сульфат-ионов</w:t>
            </w:r>
            <w:proofErr w:type="gramEnd"/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443,47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 сухого остатка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396,74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фосфат-ионов</w:t>
            </w:r>
            <w:proofErr w:type="gramEnd"/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361,04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</w:t>
            </w:r>
            <w:proofErr w:type="gram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фторид-ионов</w:t>
            </w:r>
            <w:proofErr w:type="gramEnd"/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479,45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Химическое потребление кислорода (ХПК)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702,88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хлоридов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364,25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Массовая концентрация ионов хрома (6) 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538,82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Массовая концентрация ионов цинка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995,25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Щелочность общая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295,72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45845" w:rsidRPr="00445845" w:rsidTr="00A64721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Микробиологические показатели</w:t>
            </w:r>
          </w:p>
        </w:tc>
      </w:tr>
      <w:tr w:rsidR="00445845" w:rsidRPr="00445845" w:rsidTr="00A64721">
        <w:trPr>
          <w:trHeight w:val="872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Общие </w:t>
            </w:r>
            <w:proofErr w:type="spell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колиформные</w:t>
            </w:r>
            <w:proofErr w:type="spellEnd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бактерии</w:t>
            </w:r>
          </w:p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Термотолерантныеколиформные</w:t>
            </w:r>
            <w:proofErr w:type="spellEnd"/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бактерии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1578,72</w:t>
            </w:r>
          </w:p>
        </w:tc>
      </w:tr>
      <w:tr w:rsidR="00445845" w:rsidRPr="00445845" w:rsidTr="00A64721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Отбор проб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Отбор проб транспорт Заказчика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352,24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Отбор проб транспорт УМП «Водоканал»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1038,64</w:t>
            </w:r>
          </w:p>
        </w:tc>
      </w:tr>
      <w:tr w:rsidR="00445845" w:rsidRPr="00445845" w:rsidTr="00A64721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Оформление</w:t>
            </w:r>
          </w:p>
        </w:tc>
      </w:tr>
      <w:tr w:rsidR="00445845" w:rsidRPr="00445845" w:rsidTr="00A64721">
        <w:trPr>
          <w:trHeight w:val="30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Оформление результатов 1 протокол</w:t>
            </w:r>
          </w:p>
        </w:tc>
        <w:tc>
          <w:tcPr>
            <w:tcW w:w="1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4B2" w:rsidRPr="00445845" w:rsidRDefault="002A54B2" w:rsidP="001A6B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4584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286,04</w:t>
            </w:r>
          </w:p>
        </w:tc>
      </w:tr>
    </w:tbl>
    <w:p w:rsidR="00C37B73" w:rsidRDefault="00C37B73" w:rsidP="00E3554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E35544" w:rsidRDefault="00E35544" w:rsidP="00E35544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E35544" w:rsidRDefault="00E35544" w:rsidP="00E35544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2A54B2" w:rsidRPr="00C37B73" w:rsidRDefault="00C37B73" w:rsidP="00E35544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3.</w:t>
      </w:r>
      <w:r w:rsidR="000D120F" w:rsidRPr="00C37B73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Тарифы на </w:t>
      </w:r>
      <w:r w:rsidR="002A54B2" w:rsidRPr="00C37B73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лабораторны</w:t>
      </w:r>
      <w:r w:rsidR="000D120F" w:rsidRPr="00C37B73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е</w:t>
      </w:r>
      <w:r w:rsidR="002A54B2" w:rsidRPr="00C37B73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анализ</w:t>
      </w:r>
      <w:r w:rsidR="000D120F" w:rsidRPr="00C37B73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ы</w:t>
      </w:r>
    </w:p>
    <w:p w:rsidR="002A54B2" w:rsidRPr="00445845" w:rsidRDefault="002A54B2" w:rsidP="00E3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воды питьевой, воды подземных источников, воды сточной,</w:t>
      </w:r>
    </w:p>
    <w:p w:rsidR="002A54B2" w:rsidRPr="00445845" w:rsidRDefault="002A54B2" w:rsidP="00E3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воды очищенной сточной, воды природной поверхностной</w:t>
      </w:r>
    </w:p>
    <w:p w:rsidR="002A54B2" w:rsidRDefault="002A54B2" w:rsidP="00E3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для физических лиц</w:t>
      </w:r>
    </w:p>
    <w:p w:rsidR="00E35544" w:rsidRPr="00445845" w:rsidRDefault="00E35544" w:rsidP="00E3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2A54B2" w:rsidRPr="00445845" w:rsidRDefault="002A54B2" w:rsidP="00E3554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Полный химико-микробиологический  анализ – 4714руб. с НДС</w:t>
      </w:r>
    </w:p>
    <w:p w:rsidR="002A54B2" w:rsidRPr="00445845" w:rsidRDefault="002A54B2" w:rsidP="00E3554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Полный химический анализ – 3520 руб. с НДС</w:t>
      </w:r>
    </w:p>
    <w:p w:rsidR="002A54B2" w:rsidRDefault="002A54B2" w:rsidP="00E35544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Микробиологические исследования – 1480 руб. с НДС.</w:t>
      </w:r>
    </w:p>
    <w:p w:rsidR="00E35544" w:rsidRPr="00445845" w:rsidRDefault="00E35544" w:rsidP="00E35544">
      <w:pPr>
        <w:pStyle w:val="a7"/>
        <w:spacing w:after="0" w:line="240" w:lineRule="auto"/>
        <w:ind w:left="709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2A54B2" w:rsidRPr="00445845" w:rsidRDefault="002A54B2" w:rsidP="00E355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44584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В стоимость входит оформление прото</w:t>
      </w:r>
      <w:bookmarkStart w:id="0" w:name="_GoBack"/>
      <w:bookmarkEnd w:id="0"/>
      <w:r w:rsidRPr="0044584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кола анализов.</w:t>
      </w:r>
    </w:p>
    <w:sectPr w:rsidR="002A54B2" w:rsidRPr="00445845" w:rsidSect="00A64721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EAE" w:rsidRDefault="00D24EAE" w:rsidP="00742E7D">
      <w:pPr>
        <w:spacing w:after="0" w:line="240" w:lineRule="auto"/>
      </w:pPr>
      <w:r>
        <w:separator/>
      </w:r>
    </w:p>
  </w:endnote>
  <w:endnote w:type="continuationSeparator" w:id="0">
    <w:p w:rsidR="00D24EAE" w:rsidRDefault="00D24EAE" w:rsidP="0074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271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6B1F" w:rsidRPr="00445845" w:rsidRDefault="001A6B1F">
        <w:pPr>
          <w:pStyle w:val="af"/>
          <w:jc w:val="right"/>
          <w:rPr>
            <w:rFonts w:ascii="Times New Roman" w:hAnsi="Times New Roman" w:cs="Times New Roman"/>
          </w:rPr>
        </w:pPr>
        <w:r w:rsidRPr="00445845">
          <w:rPr>
            <w:rFonts w:ascii="Times New Roman" w:hAnsi="Times New Roman" w:cs="Times New Roman"/>
          </w:rPr>
          <w:fldChar w:fldCharType="begin"/>
        </w:r>
        <w:r w:rsidRPr="00445845">
          <w:rPr>
            <w:rFonts w:ascii="Times New Roman" w:hAnsi="Times New Roman" w:cs="Times New Roman"/>
          </w:rPr>
          <w:instrText>PAGE   \* MERGEFORMAT</w:instrText>
        </w:r>
        <w:r w:rsidRPr="00445845">
          <w:rPr>
            <w:rFonts w:ascii="Times New Roman" w:hAnsi="Times New Roman" w:cs="Times New Roman"/>
          </w:rPr>
          <w:fldChar w:fldCharType="separate"/>
        </w:r>
        <w:r w:rsidR="00A64721">
          <w:rPr>
            <w:rFonts w:ascii="Times New Roman" w:hAnsi="Times New Roman" w:cs="Times New Roman"/>
            <w:noProof/>
          </w:rPr>
          <w:t>1</w:t>
        </w:r>
        <w:r w:rsidRPr="00445845">
          <w:rPr>
            <w:rFonts w:ascii="Times New Roman" w:hAnsi="Times New Roman" w:cs="Times New Roman"/>
          </w:rPr>
          <w:fldChar w:fldCharType="end"/>
        </w:r>
      </w:p>
    </w:sdtContent>
  </w:sdt>
  <w:p w:rsidR="001A6B1F" w:rsidRDefault="001A6B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EAE" w:rsidRDefault="00D24EAE" w:rsidP="00742E7D">
      <w:pPr>
        <w:spacing w:after="0" w:line="240" w:lineRule="auto"/>
      </w:pPr>
      <w:r>
        <w:separator/>
      </w:r>
    </w:p>
  </w:footnote>
  <w:footnote w:type="continuationSeparator" w:id="0">
    <w:p w:rsidR="00D24EAE" w:rsidRDefault="00D24EAE" w:rsidP="0074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5ABE"/>
    <w:multiLevelType w:val="hybridMultilevel"/>
    <w:tmpl w:val="003415A8"/>
    <w:lvl w:ilvl="0" w:tplc="652E26D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5E24CC"/>
    <w:multiLevelType w:val="hybridMultilevel"/>
    <w:tmpl w:val="B8DA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72521"/>
    <w:multiLevelType w:val="hybridMultilevel"/>
    <w:tmpl w:val="FE9C3DA6"/>
    <w:lvl w:ilvl="0" w:tplc="7B5E4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9"/>
    <w:rsid w:val="00006E09"/>
    <w:rsid w:val="0003316A"/>
    <w:rsid w:val="00036961"/>
    <w:rsid w:val="0009773B"/>
    <w:rsid w:val="000B5088"/>
    <w:rsid w:val="000D120F"/>
    <w:rsid w:val="001210F7"/>
    <w:rsid w:val="00136766"/>
    <w:rsid w:val="00140040"/>
    <w:rsid w:val="001748A3"/>
    <w:rsid w:val="001A6B1F"/>
    <w:rsid w:val="00215C6B"/>
    <w:rsid w:val="002376B6"/>
    <w:rsid w:val="00275545"/>
    <w:rsid w:val="00275DD2"/>
    <w:rsid w:val="002A54B2"/>
    <w:rsid w:val="002B3CBA"/>
    <w:rsid w:val="002C576C"/>
    <w:rsid w:val="002F01D9"/>
    <w:rsid w:val="002F3BA6"/>
    <w:rsid w:val="0032534F"/>
    <w:rsid w:val="00386712"/>
    <w:rsid w:val="003879FF"/>
    <w:rsid w:val="003A66BA"/>
    <w:rsid w:val="003F4273"/>
    <w:rsid w:val="00406E8D"/>
    <w:rsid w:val="00445845"/>
    <w:rsid w:val="00450CD7"/>
    <w:rsid w:val="004649F5"/>
    <w:rsid w:val="00475792"/>
    <w:rsid w:val="00484852"/>
    <w:rsid w:val="004F4C3C"/>
    <w:rsid w:val="00543A26"/>
    <w:rsid w:val="00543B69"/>
    <w:rsid w:val="00550A73"/>
    <w:rsid w:val="005610C2"/>
    <w:rsid w:val="0056522A"/>
    <w:rsid w:val="005E358C"/>
    <w:rsid w:val="006268EE"/>
    <w:rsid w:val="0063791E"/>
    <w:rsid w:val="00674B9F"/>
    <w:rsid w:val="00694BE5"/>
    <w:rsid w:val="006B585F"/>
    <w:rsid w:val="006E46ED"/>
    <w:rsid w:val="007075D6"/>
    <w:rsid w:val="0071095A"/>
    <w:rsid w:val="0071439E"/>
    <w:rsid w:val="00716933"/>
    <w:rsid w:val="00722CA0"/>
    <w:rsid w:val="00742E7D"/>
    <w:rsid w:val="007A3C4E"/>
    <w:rsid w:val="007B6C4C"/>
    <w:rsid w:val="007F58BE"/>
    <w:rsid w:val="00803BCD"/>
    <w:rsid w:val="0082153C"/>
    <w:rsid w:val="008221CD"/>
    <w:rsid w:val="00825AAA"/>
    <w:rsid w:val="008531DE"/>
    <w:rsid w:val="009023A4"/>
    <w:rsid w:val="00905BDD"/>
    <w:rsid w:val="00986E20"/>
    <w:rsid w:val="00987494"/>
    <w:rsid w:val="009A3E37"/>
    <w:rsid w:val="009F03BB"/>
    <w:rsid w:val="00A2233D"/>
    <w:rsid w:val="00A311E0"/>
    <w:rsid w:val="00A428C0"/>
    <w:rsid w:val="00A645B0"/>
    <w:rsid w:val="00A64721"/>
    <w:rsid w:val="00AE38D7"/>
    <w:rsid w:val="00B6260B"/>
    <w:rsid w:val="00B9020B"/>
    <w:rsid w:val="00B90CAA"/>
    <w:rsid w:val="00BA1194"/>
    <w:rsid w:val="00BF2B1F"/>
    <w:rsid w:val="00BF455D"/>
    <w:rsid w:val="00C00700"/>
    <w:rsid w:val="00C34671"/>
    <w:rsid w:val="00C37B73"/>
    <w:rsid w:val="00C40010"/>
    <w:rsid w:val="00C53B29"/>
    <w:rsid w:val="00C62B2F"/>
    <w:rsid w:val="00C81E1E"/>
    <w:rsid w:val="00CC78AA"/>
    <w:rsid w:val="00CF21D3"/>
    <w:rsid w:val="00D24EAE"/>
    <w:rsid w:val="00DB6A07"/>
    <w:rsid w:val="00DC00B4"/>
    <w:rsid w:val="00E06B60"/>
    <w:rsid w:val="00E06EE0"/>
    <w:rsid w:val="00E27366"/>
    <w:rsid w:val="00E35544"/>
    <w:rsid w:val="00EA7329"/>
    <w:rsid w:val="00ED5249"/>
    <w:rsid w:val="00EF468B"/>
    <w:rsid w:val="00F1561D"/>
    <w:rsid w:val="00FA0D7C"/>
    <w:rsid w:val="00FA337B"/>
    <w:rsid w:val="00FB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671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2153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2153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21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671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86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86712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386712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3867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38671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8671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c">
    <w:name w:val="Подзаголовок Знак"/>
    <w:basedOn w:val="a0"/>
    <w:link w:val="ab"/>
    <w:rsid w:val="00386712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d">
    <w:name w:val="header"/>
    <w:basedOn w:val="a"/>
    <w:link w:val="ae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2E7D"/>
  </w:style>
  <w:style w:type="paragraph" w:styleId="af">
    <w:name w:val="footer"/>
    <w:basedOn w:val="a"/>
    <w:link w:val="af0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2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671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2153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2153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21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671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86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86712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386712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3867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38671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8671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c">
    <w:name w:val="Подзаголовок Знак"/>
    <w:basedOn w:val="a0"/>
    <w:link w:val="ab"/>
    <w:rsid w:val="00386712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d">
    <w:name w:val="header"/>
    <w:basedOn w:val="a"/>
    <w:link w:val="ae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2E7D"/>
  </w:style>
  <w:style w:type="paragraph" w:styleId="af">
    <w:name w:val="footer"/>
    <w:basedOn w:val="a"/>
    <w:link w:val="af0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9739-D967-41E7-A5F9-13CAB554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2023-04-04T13:11:00Z</cp:lastPrinted>
  <dcterms:created xsi:type="dcterms:W3CDTF">2023-04-04T13:04:00Z</dcterms:created>
  <dcterms:modified xsi:type="dcterms:W3CDTF">2023-04-05T07:20:00Z</dcterms:modified>
</cp:coreProperties>
</file>